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2E4A7B"/>
          <w:sz w:val="30"/>
          <w:szCs w:val="30"/>
        </w:rPr>
        <w:t xml:space="preserve">Pylontech US3000C – Garantie-/Gewährleistungsfall</w:t>
      </w:r>
    </w:p>
    <w:p>
      <w:pPr>
        <w:pBdr>
          <w:bottom w:val="single" w:color="2E4A7B" w:sz="8" w:space="6"/>
        </w:pBdr>
        <w:spacing w:after="240"/>
      </w:pPr>
      <w:r>
        <w:rPr>
          <w:color w:val="5F5E5A"/>
          <w:sz w:val="22"/>
          <w:szCs w:val="22"/>
        </w:rPr>
        <w:t xml:space="preserve">Diagnosebericht Modul P4: degradierende Einzelzelle und fortschreitend steigender Modulwiderstand</w:t>
      </w:r>
    </w:p>
    <w:p>
      <w:pPr>
        <w:spacing w:after="120"/>
      </w:pPr>
      <w:r>
        <w:rPr>
          <w:sz w:val="21"/>
          <w:szCs w:val="21"/>
        </w:rPr>
        <w:t xml:space="preserve">Erstellt am: 13. Juli 2026</w:t>
      </w:r>
    </w:p>
    <w:p>
      <w:pPr>
        <w:spacing w:after="120"/>
      </w:pPr>
      <w:r>
        <w:rPr>
          <w:sz w:val="21"/>
          <w:szCs w:val="21"/>
        </w:rPr>
        <w:t xml:space="preserve">Betroffenes Modul: Pack P4 in einem Stack aus 4× Pylontech US3000C (baugleich, gemeinsamer Busbar)</w:t>
      </w:r>
    </w:p>
    <w:p>
      <w:pPr>
        <w:spacing w:after="120"/>
      </w:pPr>
      <w:r>
        <w:rPr>
          <w:sz w:val="21"/>
          <w:szCs w:val="21"/>
        </w:rPr>
        <w:t xml:space="preserve">System: Victron MultiPlus-II 3000, DVCC aktiv, Pylontech-BMS als führende Batterie</w:t>
      </w:r>
    </w:p>
    <w:p>
      <w:pPr>
        <w:spacing w:after="120"/>
      </w:pPr>
      <w:r>
        <w:rPr>
          <w:sz w:val="21"/>
          <w:szCs w:val="21"/>
        </w:rPr>
        <w:t xml:space="preserve">Datengrundlage: Betriebsdaten-Logs (MultiSIBControl) aus Aug 2025, Mai 2026 und Juli 2026 (zwei Zeiträume) sowie ein gezielter Dauerlasttest vom 12.07.2026 mit Zellspannungs-Messreihe.</w:t>
      </w:r>
    </w:p>
    <w:p>
      <w:pPr>
        <w:pStyle w:val="Heading1"/>
        <w:spacing w:after="120" w:before="260"/>
      </w:pPr>
      <w:r>
        <w:rPr>
          <w:b/>
          <w:bCs/>
          <w:color w:val="2E4A7B"/>
          <w:sz w:val="26"/>
          <w:szCs w:val="26"/>
        </w:rPr>
        <w:t xml:space="preserve">1. Die vier Module im Vergleich</w:t>
      </w:r>
    </w:p>
    <w:p>
      <w:pPr>
        <w:spacing w:after="120"/>
      </w:pPr>
      <w:r>
        <w:rPr>
          <w:sz w:val="21"/>
          <w:szCs w:val="21"/>
        </w:rPr>
        <w:t xml:space="preserve">Alle vier Module stammen aus demselben Fertigungszeitraum (Frühjahr 2022, Spanne 10 Wochen) und werden im selben Stack unter identischen Bedingungen betrieben. P1 und P4 sind zudem dieselbe Ausführung (identische Part Number).</w:t>
      </w:r>
    </w:p>
    <w:tbl>
      <w:tblPr>
        <w:tblW w:type="dxa" w:w="8300"/>
        <w:tblBorders>
          <w:top w:val="single" w:color="auto" w:sz="4"/>
          <w:left w:val="single" w:color="auto" w:sz="4"/>
          <w:bottom w:val="single" w:color="auto" w:sz="4"/>
          <w:right w:val="single" w:color="auto" w:sz="4"/>
          <w:insideH w:val="single" w:color="auto" w:sz="4"/>
          <w:insideV w:val="single" w:color="auto" w:sz="4"/>
        </w:tblBorders>
      </w:tblPr>
      <w:tblGrid>
        <w:gridCol w:w="1200"/>
        <w:gridCol w:w="2600"/>
        <w:gridCol w:w="1700"/>
        <w:gridCol w:w="1700"/>
        <w:gridCol w:w="1100"/>
      </w:tblGrid>
      <w:tr>
        <w:tc>
          <w:tcPr>
            <w:tcW w:type="dxa" w:w="1200"/>
            <w:shd w:fill="F1EFE8" w:color="auto" w:val="clear"/>
            <w:tcMar>
              <w:top w:type="dxa" w:w="60"/>
              <w:left w:type="dxa" w:w="100"/>
              <w:bottom w:type="dxa" w:w="60"/>
              <w:right w:type="dxa" w:w="100"/>
            </w:tcMar>
          </w:tcPr>
          <w:p>
            <w:r>
              <w:rPr>
                <w:b/>
                <w:bCs/>
                <w:sz w:val="18"/>
                <w:szCs w:val="18"/>
              </w:rPr>
              <w:t xml:space="preserve">Modul</w:t>
            </w:r>
          </w:p>
        </w:tc>
        <w:tc>
          <w:tcPr>
            <w:tcW w:type="dxa" w:w="2600"/>
            <w:shd w:fill="F1EFE8" w:color="auto" w:val="clear"/>
            <w:tcMar>
              <w:top w:type="dxa" w:w="60"/>
              <w:left w:type="dxa" w:w="100"/>
              <w:bottom w:type="dxa" w:w="60"/>
              <w:right w:type="dxa" w:w="100"/>
            </w:tcMar>
          </w:tcPr>
          <w:p>
            <w:r>
              <w:rPr>
                <w:b/>
                <w:bCs/>
                <w:sz w:val="18"/>
                <w:szCs w:val="18"/>
              </w:rPr>
              <w:t xml:space="preserve">Seriennummer</w:t>
            </w:r>
          </w:p>
        </w:tc>
        <w:tc>
          <w:tcPr>
            <w:tcW w:type="dxa" w:w="1700"/>
            <w:shd w:fill="F1EFE8" w:color="auto" w:val="clear"/>
            <w:tcMar>
              <w:top w:type="dxa" w:w="60"/>
              <w:left w:type="dxa" w:w="100"/>
              <w:bottom w:type="dxa" w:w="60"/>
              <w:right w:type="dxa" w:w="100"/>
            </w:tcMar>
          </w:tcPr>
          <w:p>
            <w:r>
              <w:rPr>
                <w:b/>
                <w:bCs/>
                <w:sz w:val="18"/>
                <w:szCs w:val="18"/>
              </w:rPr>
              <w:t xml:space="preserve">Produktion</w:t>
            </w:r>
          </w:p>
        </w:tc>
        <w:tc>
          <w:tcPr>
            <w:tcW w:type="dxa" w:w="1700"/>
            <w:shd w:fill="F1EFE8" w:color="auto" w:val="clear"/>
            <w:tcMar>
              <w:top w:type="dxa" w:w="60"/>
              <w:left w:type="dxa" w:w="100"/>
              <w:bottom w:type="dxa" w:w="60"/>
              <w:right w:type="dxa" w:w="100"/>
            </w:tcMar>
          </w:tcPr>
          <w:p>
            <w:r>
              <w:rPr>
                <w:b/>
                <w:bCs/>
                <w:sz w:val="18"/>
                <w:szCs w:val="18"/>
              </w:rPr>
              <w:t xml:space="preserve">Part Number</w:t>
            </w:r>
          </w:p>
        </w:tc>
        <w:tc>
          <w:tcPr>
            <w:tcW w:type="dxa" w:w="1100"/>
            <w:shd w:fill="F1EFE8" w:color="auto" w:val="clear"/>
            <w:tcMar>
              <w:top w:type="dxa" w:w="60"/>
              <w:left w:type="dxa" w:w="100"/>
              <w:bottom w:type="dxa" w:w="60"/>
              <w:right w:type="dxa" w:w="100"/>
            </w:tcMar>
          </w:tcPr>
          <w:p>
            <w:r>
              <w:rPr>
                <w:b/>
                <w:bCs/>
                <w:sz w:val="18"/>
                <w:szCs w:val="18"/>
              </w:rPr>
              <w:t xml:space="preserve">Zyklen</w:t>
            </w:r>
          </w:p>
        </w:tc>
      </w:tr>
      <w:tr>
        <w:tc>
          <w:tcPr>
            <w:tcW w:type="dxa" w:w="1200"/>
            <w:tcMar>
              <w:top w:type="dxa" w:w="60"/>
              <w:left w:type="dxa" w:w="100"/>
              <w:bottom w:type="dxa" w:w="60"/>
              <w:right w:type="dxa" w:w="100"/>
            </w:tcMar>
          </w:tcPr>
          <w:p>
            <w:r>
              <w:rPr>
                <w:b w:val="false"/>
                <w:bCs w:val="false"/>
                <w:sz w:val="18"/>
                <w:szCs w:val="18"/>
              </w:rPr>
              <w:t xml:space="preserve">P1</w:t>
            </w:r>
          </w:p>
        </w:tc>
        <w:tc>
          <w:tcPr>
            <w:tcW w:type="dxa" w:w="2600"/>
            <w:tcMar>
              <w:top w:type="dxa" w:w="60"/>
              <w:left w:type="dxa" w:w="100"/>
              <w:bottom w:type="dxa" w:w="60"/>
              <w:right w:type="dxa" w:w="100"/>
            </w:tcMar>
          </w:tcPr>
          <w:p>
            <w:r>
              <w:rPr>
                <w:b w:val="false"/>
                <w:bCs w:val="false"/>
                <w:sz w:val="18"/>
                <w:szCs w:val="18"/>
              </w:rPr>
              <w:t xml:space="preserve">H225022C32254432</w:t>
            </w:r>
          </w:p>
        </w:tc>
        <w:tc>
          <w:tcPr>
            <w:tcW w:type="dxa" w:w="1700"/>
            <w:tcMar>
              <w:top w:type="dxa" w:w="60"/>
              <w:left w:type="dxa" w:w="100"/>
              <w:bottom w:type="dxa" w:w="60"/>
              <w:right w:type="dxa" w:w="100"/>
            </w:tcMar>
          </w:tcPr>
          <w:p>
            <w:r>
              <w:rPr>
                <w:b w:val="false"/>
                <w:bCs w:val="false"/>
                <w:sz w:val="18"/>
                <w:szCs w:val="18"/>
              </w:rPr>
              <w:t xml:space="preserve">2022-05-31</w:t>
            </w:r>
          </w:p>
        </w:tc>
        <w:tc>
          <w:tcPr>
            <w:tcW w:type="dxa" w:w="1700"/>
            <w:tcMar>
              <w:top w:type="dxa" w:w="60"/>
              <w:left w:type="dxa" w:w="100"/>
              <w:bottom w:type="dxa" w:w="60"/>
              <w:right w:type="dxa" w:w="100"/>
            </w:tcMar>
          </w:tcPr>
          <w:p>
            <w:r>
              <w:rPr>
                <w:b w:val="false"/>
                <w:bCs w:val="false"/>
                <w:sz w:val="18"/>
                <w:szCs w:val="18"/>
              </w:rPr>
              <w:t xml:space="preserve">…B4E2L0101</w:t>
            </w:r>
          </w:p>
        </w:tc>
        <w:tc>
          <w:tcPr>
            <w:tcW w:type="dxa" w:w="1100"/>
            <w:tcMar>
              <w:top w:type="dxa" w:w="60"/>
              <w:left w:type="dxa" w:w="100"/>
              <w:bottom w:type="dxa" w:w="60"/>
              <w:right w:type="dxa" w:w="100"/>
            </w:tcMar>
          </w:tcPr>
          <w:p>
            <w:r>
              <w:rPr>
                <w:b w:val="false"/>
                <w:bCs w:val="false"/>
                <w:sz w:val="18"/>
                <w:szCs w:val="18"/>
              </w:rPr>
              <w:t xml:space="preserve">400</w:t>
            </w:r>
          </w:p>
        </w:tc>
      </w:tr>
      <w:tr>
        <w:tc>
          <w:tcPr>
            <w:tcW w:type="dxa" w:w="1200"/>
            <w:tcMar>
              <w:top w:type="dxa" w:w="60"/>
              <w:left w:type="dxa" w:w="100"/>
              <w:bottom w:type="dxa" w:w="60"/>
              <w:right w:type="dxa" w:w="100"/>
            </w:tcMar>
          </w:tcPr>
          <w:p>
            <w:r>
              <w:rPr>
                <w:b w:val="false"/>
                <w:bCs w:val="false"/>
                <w:sz w:val="18"/>
                <w:szCs w:val="18"/>
              </w:rPr>
              <w:t xml:space="preserve">P2</w:t>
            </w:r>
          </w:p>
        </w:tc>
        <w:tc>
          <w:tcPr>
            <w:tcW w:type="dxa" w:w="2600"/>
            <w:tcMar>
              <w:top w:type="dxa" w:w="60"/>
              <w:left w:type="dxa" w:w="100"/>
              <w:bottom w:type="dxa" w:w="60"/>
              <w:right w:type="dxa" w:w="100"/>
            </w:tcMar>
          </w:tcPr>
          <w:p>
            <w:r>
              <w:rPr>
                <w:b w:val="false"/>
                <w:bCs w:val="false"/>
                <w:sz w:val="18"/>
                <w:szCs w:val="18"/>
              </w:rPr>
              <w:t xml:space="preserve">H22D016C32240473</w:t>
            </w:r>
          </w:p>
        </w:tc>
        <w:tc>
          <w:tcPr>
            <w:tcW w:type="dxa" w:w="1700"/>
            <w:tcMar>
              <w:top w:type="dxa" w:w="60"/>
              <w:left w:type="dxa" w:w="100"/>
              <w:bottom w:type="dxa" w:w="60"/>
              <w:right w:type="dxa" w:w="100"/>
            </w:tcMar>
          </w:tcPr>
          <w:p>
            <w:r>
              <w:rPr>
                <w:b w:val="false"/>
                <w:bCs w:val="false"/>
                <w:sz w:val="18"/>
                <w:szCs w:val="18"/>
              </w:rPr>
              <w:t xml:space="preserve">2022-04-25</w:t>
            </w:r>
          </w:p>
        </w:tc>
        <w:tc>
          <w:tcPr>
            <w:tcW w:type="dxa" w:w="1700"/>
            <w:tcMar>
              <w:top w:type="dxa" w:w="60"/>
              <w:left w:type="dxa" w:w="100"/>
              <w:bottom w:type="dxa" w:w="60"/>
              <w:right w:type="dxa" w:w="100"/>
            </w:tcMar>
          </w:tcPr>
          <w:p>
            <w:r>
              <w:rPr>
                <w:b w:val="false"/>
                <w:bCs w:val="false"/>
                <w:sz w:val="18"/>
                <w:szCs w:val="18"/>
              </w:rPr>
              <w:t xml:space="preserve">…B4E2L0102</w:t>
            </w:r>
          </w:p>
        </w:tc>
        <w:tc>
          <w:tcPr>
            <w:tcW w:type="dxa" w:w="1100"/>
            <w:tcMar>
              <w:top w:type="dxa" w:w="60"/>
              <w:left w:type="dxa" w:w="100"/>
              <w:bottom w:type="dxa" w:w="60"/>
              <w:right w:type="dxa" w:w="100"/>
            </w:tcMar>
          </w:tcPr>
          <w:p>
            <w:r>
              <w:rPr>
                <w:b w:val="false"/>
                <w:bCs w:val="false"/>
                <w:sz w:val="18"/>
                <w:szCs w:val="18"/>
              </w:rPr>
              <w:t xml:space="preserve">476</w:t>
            </w:r>
          </w:p>
        </w:tc>
      </w:tr>
      <w:tr>
        <w:tc>
          <w:tcPr>
            <w:tcW w:type="dxa" w:w="1200"/>
            <w:tcMar>
              <w:top w:type="dxa" w:w="60"/>
              <w:left w:type="dxa" w:w="100"/>
              <w:bottom w:type="dxa" w:w="60"/>
              <w:right w:type="dxa" w:w="100"/>
            </w:tcMar>
          </w:tcPr>
          <w:p>
            <w:r>
              <w:rPr>
                <w:b w:val="false"/>
                <w:bCs w:val="false"/>
                <w:sz w:val="18"/>
                <w:szCs w:val="18"/>
              </w:rPr>
              <w:t xml:space="preserve">P3</w:t>
            </w:r>
          </w:p>
        </w:tc>
        <w:tc>
          <w:tcPr>
            <w:tcW w:type="dxa" w:w="2600"/>
            <w:tcMar>
              <w:top w:type="dxa" w:w="60"/>
              <w:left w:type="dxa" w:w="100"/>
              <w:bottom w:type="dxa" w:w="60"/>
              <w:right w:type="dxa" w:w="100"/>
            </w:tcMar>
          </w:tcPr>
          <w:p>
            <w:r>
              <w:rPr>
                <w:b w:val="false"/>
                <w:bCs w:val="false"/>
                <w:sz w:val="18"/>
                <w:szCs w:val="18"/>
              </w:rPr>
              <w:t xml:space="preserve">H22D016C32240472</w:t>
            </w:r>
          </w:p>
        </w:tc>
        <w:tc>
          <w:tcPr>
            <w:tcW w:type="dxa" w:w="1700"/>
            <w:tcMar>
              <w:top w:type="dxa" w:w="60"/>
              <w:left w:type="dxa" w:w="100"/>
              <w:bottom w:type="dxa" w:w="60"/>
              <w:right w:type="dxa" w:w="100"/>
            </w:tcMar>
          </w:tcPr>
          <w:p>
            <w:r>
              <w:rPr>
                <w:b w:val="false"/>
                <w:bCs w:val="false"/>
                <w:sz w:val="18"/>
                <w:szCs w:val="18"/>
              </w:rPr>
              <w:t xml:space="preserve">2022-04-25</w:t>
            </w:r>
          </w:p>
        </w:tc>
        <w:tc>
          <w:tcPr>
            <w:tcW w:type="dxa" w:w="1700"/>
            <w:tcMar>
              <w:top w:type="dxa" w:w="60"/>
              <w:left w:type="dxa" w:w="100"/>
              <w:bottom w:type="dxa" w:w="60"/>
              <w:right w:type="dxa" w:w="100"/>
            </w:tcMar>
          </w:tcPr>
          <w:p>
            <w:r>
              <w:rPr>
                <w:b w:val="false"/>
                <w:bCs w:val="false"/>
                <w:sz w:val="18"/>
                <w:szCs w:val="18"/>
              </w:rPr>
              <w:t xml:space="preserve">…B4E2L0102</w:t>
            </w:r>
          </w:p>
        </w:tc>
        <w:tc>
          <w:tcPr>
            <w:tcW w:type="dxa" w:w="1100"/>
            <w:tcMar>
              <w:top w:type="dxa" w:w="60"/>
              <w:left w:type="dxa" w:w="100"/>
              <w:bottom w:type="dxa" w:w="60"/>
              <w:right w:type="dxa" w:w="100"/>
            </w:tcMar>
          </w:tcPr>
          <w:p>
            <w:r>
              <w:rPr>
                <w:b w:val="false"/>
                <w:bCs w:val="false"/>
                <w:sz w:val="18"/>
                <w:szCs w:val="18"/>
              </w:rPr>
              <w:t xml:space="preserve">477</w:t>
            </w:r>
          </w:p>
        </w:tc>
      </w:tr>
      <w:tr>
        <w:tc>
          <w:tcPr>
            <w:tcW w:type="dxa" w:w="1200"/>
            <w:shd w:fill="FCEBEB" w:color="auto" w:val="clear"/>
            <w:tcMar>
              <w:top w:type="dxa" w:w="60"/>
              <w:left w:type="dxa" w:w="100"/>
              <w:bottom w:type="dxa" w:w="60"/>
              <w:right w:type="dxa" w:w="100"/>
            </w:tcMar>
          </w:tcPr>
          <w:p>
            <w:r>
              <w:rPr>
                <w:b w:val="false"/>
                <w:bCs w:val="false"/>
                <w:sz w:val="18"/>
                <w:szCs w:val="18"/>
              </w:rPr>
              <w:t xml:space="preserve">P4</w:t>
            </w:r>
          </w:p>
        </w:tc>
        <w:tc>
          <w:tcPr>
            <w:tcW w:type="dxa" w:w="2600"/>
            <w:shd w:fill="FCEBEB" w:color="auto" w:val="clear"/>
            <w:tcMar>
              <w:top w:type="dxa" w:w="60"/>
              <w:left w:type="dxa" w:w="100"/>
              <w:bottom w:type="dxa" w:w="60"/>
              <w:right w:type="dxa" w:w="100"/>
            </w:tcMar>
          </w:tcPr>
          <w:p>
            <w:r>
              <w:rPr>
                <w:b w:val="false"/>
                <w:bCs w:val="false"/>
                <w:sz w:val="18"/>
                <w:szCs w:val="18"/>
              </w:rPr>
              <w:t xml:space="preserve">P223086C32230142</w:t>
            </w:r>
          </w:p>
        </w:tc>
        <w:tc>
          <w:tcPr>
            <w:tcW w:type="dxa" w:w="1700"/>
            <w:shd w:fill="FCEBEB" w:color="auto" w:val="clear"/>
            <w:tcMar>
              <w:top w:type="dxa" w:w="60"/>
              <w:left w:type="dxa" w:w="100"/>
              <w:bottom w:type="dxa" w:w="60"/>
              <w:right w:type="dxa" w:w="100"/>
            </w:tcMar>
          </w:tcPr>
          <w:p>
            <w:r>
              <w:rPr>
                <w:b w:val="false"/>
                <w:bCs w:val="false"/>
                <w:sz w:val="18"/>
                <w:szCs w:val="18"/>
              </w:rPr>
              <w:t xml:space="preserve">2022-03-19</w:t>
            </w:r>
          </w:p>
        </w:tc>
        <w:tc>
          <w:tcPr>
            <w:tcW w:type="dxa" w:w="1700"/>
            <w:shd w:fill="FCEBEB" w:color="auto" w:val="clear"/>
            <w:tcMar>
              <w:top w:type="dxa" w:w="60"/>
              <w:left w:type="dxa" w:w="100"/>
              <w:bottom w:type="dxa" w:w="60"/>
              <w:right w:type="dxa" w:w="100"/>
            </w:tcMar>
          </w:tcPr>
          <w:p>
            <w:r>
              <w:rPr>
                <w:b w:val="false"/>
                <w:bCs w:val="false"/>
                <w:sz w:val="18"/>
                <w:szCs w:val="18"/>
              </w:rPr>
              <w:t xml:space="preserve">…B4E2L0101</w:t>
            </w:r>
          </w:p>
        </w:tc>
        <w:tc>
          <w:tcPr>
            <w:tcW w:type="dxa" w:w="1100"/>
            <w:shd w:fill="FCEBEB" w:color="auto" w:val="clear"/>
            <w:tcMar>
              <w:top w:type="dxa" w:w="60"/>
              <w:left w:type="dxa" w:w="100"/>
              <w:bottom w:type="dxa" w:w="60"/>
              <w:right w:type="dxa" w:w="100"/>
            </w:tcMar>
          </w:tcPr>
          <w:p>
            <w:r>
              <w:rPr>
                <w:b w:val="false"/>
                <w:bCs w:val="false"/>
                <w:sz w:val="18"/>
                <w:szCs w:val="18"/>
              </w:rPr>
              <w:t xml:space="preserve">475</w:t>
            </w:r>
          </w:p>
        </w:tc>
      </w:tr>
    </w:tbl>
    <w:p>
      <w:pPr>
        <w:spacing w:before="140"/>
      </w:pPr>
    </w:p>
    <w:p>
      <w:pPr>
        <w:spacing w:after="120"/>
      </w:pPr>
      <w:r>
        <w:rPr>
          <w:sz w:val="21"/>
          <w:szCs w:val="21"/>
        </w:rPr>
        <w:t xml:space="preserve">P4 ist lediglich fünf Wochen älter als P2/P3 und zehn Wochen älter als P1. Die Zyklenzahlen von P2, P3 und P4 sind praktisch identisch (475–477). Ein Altersunterschied dieser Größenordnung erklärt die im Folgenden dokumentierte Degradation nicht.</w:t>
      </w:r>
    </w:p>
    <w:p>
      <w:pPr>
        <w:spacing w:after="120"/>
      </w:pPr>
      <w:r>
        <w:rPr>
          <w:sz w:val="21"/>
          <w:szCs w:val="21"/>
        </w:rPr>
        <w:t xml:space="preserve">Besonders aussagekräftig ist der Vergleich mit P1: Dieses Modul ist dieselbe Ausführung wie P4 (identische Part Number US3000CB4E2L0101), stammt aus demselben Fertigungsquartal und wird im selben Stack betrieben — es zeigt jedoch in allen Betriebszuständen und über den gesamten Beobachtungszeitraum keinerlei Auffälligkeiten. P1 dient damit als internes Kontrollmodul.</w:t>
      </w:r>
    </w:p>
    <w:p>
      <w:pPr>
        <w:pStyle w:val="Heading1"/>
        <w:spacing w:after="120" w:before="260"/>
      </w:pPr>
      <w:r>
        <w:rPr>
          <w:b/>
          <w:bCs/>
          <w:color w:val="2E4A7B"/>
          <w:sz w:val="26"/>
          <w:szCs w:val="26"/>
        </w:rPr>
        <w:t xml:space="preserve">2. Zusammenfassung</w:t>
      </w:r>
    </w:p>
    <w:p>
      <w:pPr>
        <w:spacing w:after="120"/>
      </w:pPr>
      <w:r>
        <w:rPr>
          <w:sz w:val="21"/>
          <w:szCs w:val="21"/>
        </w:rPr>
        <w:t xml:space="preserve">In einem Parallelverbund aus vier baugleichen Pylontech US3000C weicht Modul P4 seit Monaten fortschreitend von den drei übrigen Modulen ab. Zwei unabhängige, sich gegenseitig stützende Befunde liegen vor:</w:t>
      </w:r>
    </w:p>
    <w:p>
      <w:pPr>
        <w:spacing w:after="120"/>
      </w:pPr>
      <w:r>
        <w:rPr>
          <w:sz w:val="21"/>
          <w:szCs w:val="21"/>
        </w:rPr>
        <w:t xml:space="preserve">Erstens: Auf Modulebene ist der aus den Betriebsdaten geschätzte effektive Widerstand von P4 gegenüber dem Mittel von P1–P3 über elf Monate von −4 mΩ (unauffällig, unter dem Durchschnitt) auf +27 % angestiegen — monoton über vier unabhängig ausgewertete Zeiträume und zuletzt beschleunigt.</w:t>
      </w:r>
    </w:p>
    <w:p>
      <w:pPr>
        <w:spacing w:after="120"/>
      </w:pPr>
      <w:r>
        <w:rPr>
          <w:sz w:val="21"/>
          <w:szCs w:val="21"/>
        </w:rPr>
        <w:t xml:space="preserve">Zweitens: Auf Zellebene zeigt ein Zellblock in P4 (Zellen 12/13/14, insbesondere Zelle 13) ein eindeutiges Degradationsverhalten. Unter konstanter Entladelast bricht Zelle 13 progressiv ein: Ihr effektiver Innenwiderstand stieg im Dauerlasttest über eine Stunde von 0,9 mΩ auf 4,1 mΩ — bei gleichzeitig sinkendem Strom. Die drei übrigen Module zeigten im selben Test lediglich die normale, geringfügige Polarisation (Zuwachs 2–4 mV gegenüber 34 mV bei P4).</w:t>
      </w:r>
    </w:p>
    <w:p>
      <w:pPr>
        <w:spacing w:after="120"/>
      </w:pPr>
      <w:r>
        <w:rPr>
          <w:sz w:val="21"/>
          <w:szCs w:val="21"/>
        </w:rPr>
        <w:t xml:space="preserve">Ein systembedingt verschärfender Faktor kommt hinzu: Der passive Balancer des Moduls interpretiert die durch den Innenwiderstand unter Ladestrom künstlich erhöhte Spannung von Zelle 13 als Überladung und leitet an genau dieser — in Wahrheit schwächsten — Zelle Ladung ab. Die Degradation wird dadurch bei jedem Ladezyklus weiter verstärkt.</w:t>
      </w:r>
    </w:p>
    <w:p>
      <w:pPr>
        <w:pStyle w:val="Heading1"/>
        <w:spacing w:after="120" w:before="260"/>
      </w:pPr>
      <w:r>
        <w:rPr>
          <w:b/>
          <w:bCs/>
          <w:color w:val="2E4A7B"/>
          <w:sz w:val="26"/>
          <w:szCs w:val="26"/>
        </w:rPr>
        <w:t xml:space="preserve">3. Befund Modulebene: Widerstandsentwicklung über elf Monate</w:t>
      </w:r>
    </w:p>
    <w:p>
      <w:pPr>
        <w:spacing w:after="120"/>
      </w:pPr>
      <w:r>
        <w:rPr>
          <w:sz w:val="21"/>
          <w:szCs w:val="21"/>
        </w:rPr>
        <w:t xml:space="preserve">Methodik: Der effektive Widerstand jedes Moduls wurde als Steigung von Klemmenspannung gegen Modulstrom ermittelt, ausgewertet innerhalb schmaler SOC-Bänder, um die Leerlaufspannung konstant zu halten. Aussagekräftig ist der relative Vergleich zwischen den vier baugleichen Modulen sowie der zeitliche Trend.</w:t>
      </w:r>
    </w:p>
    <w:tbl>
      <w:tblPr>
        <w:tblW w:type="dxa" w:w="8300"/>
        <w:tblBorders>
          <w:top w:val="single" w:color="auto" w:sz="4"/>
          <w:left w:val="single" w:color="auto" w:sz="4"/>
          <w:bottom w:val="single" w:color="auto" w:sz="4"/>
          <w:right w:val="single" w:color="auto" w:sz="4"/>
          <w:insideH w:val="single" w:color="auto" w:sz="4"/>
          <w:insideV w:val="single" w:color="auto" w:sz="4"/>
        </w:tblBorders>
      </w:tblPr>
      <w:tblGrid>
        <w:gridCol w:w="2500"/>
        <w:gridCol w:w="1450"/>
        <w:gridCol w:w="1450"/>
        <w:gridCol w:w="1450"/>
        <w:gridCol w:w="1450"/>
      </w:tblGrid>
      <w:tr>
        <w:tc>
          <w:tcPr>
            <w:tcW w:type="dxa" w:w="2500"/>
            <w:shd w:fill="F1EFE8" w:color="auto" w:val="clear"/>
            <w:tcMar>
              <w:top w:type="dxa" w:w="60"/>
              <w:left w:type="dxa" w:w="100"/>
              <w:bottom w:type="dxa" w:w="60"/>
              <w:right w:type="dxa" w:w="100"/>
            </w:tcMar>
          </w:tcPr>
          <w:p>
            <w:r>
              <w:rPr>
                <w:b/>
                <w:bCs/>
                <w:sz w:val="18"/>
                <w:szCs w:val="18"/>
              </w:rPr>
              <w:t xml:space="preserve">Kennzahl</w:t>
            </w:r>
          </w:p>
        </w:tc>
        <w:tc>
          <w:tcPr>
            <w:tcW w:type="dxa" w:w="1450"/>
            <w:shd w:fill="F1EFE8" w:color="auto" w:val="clear"/>
            <w:tcMar>
              <w:top w:type="dxa" w:w="60"/>
              <w:left w:type="dxa" w:w="100"/>
              <w:bottom w:type="dxa" w:w="60"/>
              <w:right w:type="dxa" w:w="100"/>
            </w:tcMar>
          </w:tcPr>
          <w:p>
            <w:r>
              <w:rPr>
                <w:b/>
                <w:bCs/>
                <w:sz w:val="18"/>
                <w:szCs w:val="18"/>
              </w:rPr>
              <w:t xml:space="preserve">Aug 2025</w:t>
            </w:r>
          </w:p>
        </w:tc>
        <w:tc>
          <w:tcPr>
            <w:tcW w:type="dxa" w:w="1450"/>
            <w:shd w:fill="F1EFE8" w:color="auto" w:val="clear"/>
            <w:tcMar>
              <w:top w:type="dxa" w:w="60"/>
              <w:left w:type="dxa" w:w="100"/>
              <w:bottom w:type="dxa" w:w="60"/>
              <w:right w:type="dxa" w:w="100"/>
            </w:tcMar>
          </w:tcPr>
          <w:p>
            <w:r>
              <w:rPr>
                <w:b/>
                <w:bCs/>
                <w:sz w:val="18"/>
                <w:szCs w:val="18"/>
              </w:rPr>
              <w:t xml:space="preserve">Mai 2026</w:t>
            </w:r>
          </w:p>
        </w:tc>
        <w:tc>
          <w:tcPr>
            <w:tcW w:type="dxa" w:w="1450"/>
            <w:shd w:fill="F1EFE8" w:color="auto" w:val="clear"/>
            <w:tcMar>
              <w:top w:type="dxa" w:w="60"/>
              <w:left w:type="dxa" w:w="100"/>
              <w:bottom w:type="dxa" w:w="60"/>
              <w:right w:type="dxa" w:w="100"/>
            </w:tcMar>
          </w:tcPr>
          <w:p>
            <w:r>
              <w:rPr>
                <w:b/>
                <w:bCs/>
                <w:sz w:val="18"/>
                <w:szCs w:val="18"/>
              </w:rPr>
              <w:t xml:space="preserve">Jul 05–11</w:t>
            </w:r>
          </w:p>
        </w:tc>
        <w:tc>
          <w:tcPr>
            <w:tcW w:type="dxa" w:w="1450"/>
            <w:shd w:fill="F1EFE8" w:color="auto" w:val="clear"/>
            <w:tcMar>
              <w:top w:type="dxa" w:w="60"/>
              <w:left w:type="dxa" w:w="100"/>
              <w:bottom w:type="dxa" w:w="60"/>
              <w:right w:type="dxa" w:w="100"/>
            </w:tcMar>
          </w:tcPr>
          <w:p>
            <w:r>
              <w:rPr>
                <w:b/>
                <w:bCs/>
                <w:sz w:val="18"/>
                <w:szCs w:val="18"/>
              </w:rPr>
              <w:t xml:space="preserve">Jul 11–13</w:t>
            </w:r>
          </w:p>
        </w:tc>
      </w:tr>
      <w:tr>
        <w:tc>
          <w:tcPr>
            <w:tcW w:type="dxa" w:w="2500"/>
            <w:tcMar>
              <w:top w:type="dxa" w:w="60"/>
              <w:left w:type="dxa" w:w="100"/>
              <w:bottom w:type="dxa" w:w="60"/>
              <w:right w:type="dxa" w:w="100"/>
            </w:tcMar>
          </w:tcPr>
          <w:p>
            <w:r>
              <w:rPr>
                <w:b w:val="false"/>
                <w:bCs w:val="false"/>
                <w:sz w:val="18"/>
                <w:szCs w:val="18"/>
              </w:rPr>
              <w:t xml:space="preserve">P4 Mehrwiderstand ggü. Ø</w:t>
            </w:r>
          </w:p>
        </w:tc>
        <w:tc>
          <w:tcPr>
            <w:tcW w:type="dxa" w:w="1450"/>
            <w:tcMar>
              <w:top w:type="dxa" w:w="60"/>
              <w:left w:type="dxa" w:w="100"/>
              <w:bottom w:type="dxa" w:w="60"/>
              <w:right w:type="dxa" w:w="100"/>
            </w:tcMar>
          </w:tcPr>
          <w:p>
            <w:r>
              <w:rPr>
                <w:b w:val="false"/>
                <w:bCs w:val="false"/>
                <w:sz w:val="18"/>
                <w:szCs w:val="18"/>
              </w:rPr>
              <w:t xml:space="preserve">−4 %</w:t>
            </w:r>
          </w:p>
        </w:tc>
        <w:tc>
          <w:tcPr>
            <w:tcW w:type="dxa" w:w="1450"/>
            <w:shd w:fill="FAEEDA" w:color="auto" w:val="clear"/>
            <w:tcMar>
              <w:top w:type="dxa" w:w="60"/>
              <w:left w:type="dxa" w:w="100"/>
              <w:bottom w:type="dxa" w:w="60"/>
              <w:right w:type="dxa" w:w="100"/>
            </w:tcMar>
          </w:tcPr>
          <w:p>
            <w:r>
              <w:rPr>
                <w:b w:val="false"/>
                <w:bCs w:val="false"/>
                <w:sz w:val="18"/>
                <w:szCs w:val="18"/>
              </w:rPr>
              <w:t xml:space="preserve">+12 %</w:t>
            </w:r>
          </w:p>
        </w:tc>
        <w:tc>
          <w:tcPr>
            <w:tcW w:type="dxa" w:w="1450"/>
            <w:shd w:fill="FCEBEB" w:color="auto" w:val="clear"/>
            <w:tcMar>
              <w:top w:type="dxa" w:w="60"/>
              <w:left w:type="dxa" w:w="100"/>
              <w:bottom w:type="dxa" w:w="60"/>
              <w:right w:type="dxa" w:w="100"/>
            </w:tcMar>
          </w:tcPr>
          <w:p>
            <w:r>
              <w:rPr>
                <w:b w:val="false"/>
                <w:bCs w:val="false"/>
                <w:sz w:val="18"/>
                <w:szCs w:val="18"/>
              </w:rPr>
              <w:t xml:space="preserve">+24 %</w:t>
            </w:r>
          </w:p>
        </w:tc>
        <w:tc>
          <w:tcPr>
            <w:tcW w:type="dxa" w:w="1450"/>
            <w:shd w:fill="FCEBEB" w:color="auto" w:val="clear"/>
            <w:tcMar>
              <w:top w:type="dxa" w:w="60"/>
              <w:left w:type="dxa" w:w="100"/>
              <w:bottom w:type="dxa" w:w="60"/>
              <w:right w:type="dxa" w:w="100"/>
            </w:tcMar>
          </w:tcPr>
          <w:p>
            <w:r>
              <w:rPr>
                <w:b w:val="false"/>
                <w:bCs w:val="false"/>
                <w:sz w:val="18"/>
                <w:szCs w:val="18"/>
              </w:rPr>
              <w:t xml:space="preserve">+27 %</w:t>
            </w:r>
          </w:p>
        </w:tc>
      </w:tr>
      <w:tr>
        <w:tc>
          <w:tcPr>
            <w:tcW w:type="dxa" w:w="2500"/>
            <w:tcMar>
              <w:top w:type="dxa" w:w="60"/>
              <w:left w:type="dxa" w:w="100"/>
              <w:bottom w:type="dxa" w:w="60"/>
              <w:right w:type="dxa" w:w="100"/>
            </w:tcMar>
          </w:tcPr>
          <w:p>
            <w:r>
              <w:rPr>
                <w:b w:val="false"/>
                <w:bCs w:val="false"/>
                <w:sz w:val="18"/>
                <w:szCs w:val="18"/>
              </w:rPr>
              <w:t xml:space="preserve">P4 SOC-Offset (Mittel)</w:t>
            </w:r>
          </w:p>
        </w:tc>
        <w:tc>
          <w:tcPr>
            <w:tcW w:type="dxa" w:w="1450"/>
            <w:tcMar>
              <w:top w:type="dxa" w:w="60"/>
              <w:left w:type="dxa" w:w="100"/>
              <w:bottom w:type="dxa" w:w="60"/>
              <w:right w:type="dxa" w:w="100"/>
            </w:tcMar>
          </w:tcPr>
          <w:p>
            <w:r>
              <w:rPr>
                <w:b w:val="false"/>
                <w:bCs w:val="false"/>
                <w:sz w:val="18"/>
                <w:szCs w:val="18"/>
              </w:rPr>
              <w:t xml:space="preserve">+2,1 %</w:t>
            </w:r>
          </w:p>
        </w:tc>
        <w:tc>
          <w:tcPr>
            <w:tcW w:type="dxa" w:w="1450"/>
            <w:tcMar>
              <w:top w:type="dxa" w:w="60"/>
              <w:left w:type="dxa" w:w="100"/>
              <w:bottom w:type="dxa" w:w="60"/>
              <w:right w:type="dxa" w:w="100"/>
            </w:tcMar>
          </w:tcPr>
          <w:p>
            <w:r>
              <w:rPr>
                <w:b w:val="false"/>
                <w:bCs w:val="false"/>
                <w:sz w:val="18"/>
                <w:szCs w:val="18"/>
              </w:rPr>
              <w:t xml:space="preserve">+5,4 %</w:t>
            </w:r>
          </w:p>
        </w:tc>
        <w:tc>
          <w:tcPr>
            <w:tcW w:type="dxa" w:w="1450"/>
            <w:tcMar>
              <w:top w:type="dxa" w:w="60"/>
              <w:left w:type="dxa" w:w="100"/>
              <w:bottom w:type="dxa" w:w="60"/>
              <w:right w:type="dxa" w:w="100"/>
            </w:tcMar>
          </w:tcPr>
          <w:p>
            <w:r>
              <w:rPr>
                <w:b w:val="false"/>
                <w:bCs w:val="false"/>
                <w:sz w:val="18"/>
                <w:szCs w:val="18"/>
              </w:rPr>
              <w:t xml:space="preserve">+7,8 %</w:t>
            </w:r>
          </w:p>
        </w:tc>
        <w:tc>
          <w:tcPr>
            <w:tcW w:type="dxa" w:w="1450"/>
            <w:tcMar>
              <w:top w:type="dxa" w:w="60"/>
              <w:left w:type="dxa" w:w="100"/>
              <w:bottom w:type="dxa" w:w="60"/>
              <w:right w:type="dxa" w:w="100"/>
            </w:tcMar>
          </w:tcPr>
          <w:p>
            <w:r>
              <w:rPr>
                <w:b w:val="false"/>
                <w:bCs w:val="false"/>
                <w:sz w:val="18"/>
                <w:szCs w:val="18"/>
              </w:rPr>
              <w:t xml:space="preserve">+7,1 %</w:t>
            </w:r>
          </w:p>
        </w:tc>
      </w:tr>
      <w:tr>
        <w:tc>
          <w:tcPr>
            <w:tcW w:type="dxa" w:w="2500"/>
            <w:tcMar>
              <w:top w:type="dxa" w:w="60"/>
              <w:left w:type="dxa" w:w="100"/>
              <w:bottom w:type="dxa" w:w="60"/>
              <w:right w:type="dxa" w:w="100"/>
            </w:tcMar>
          </w:tcPr>
          <w:p>
            <w:r>
              <w:rPr>
                <w:b w:val="false"/>
                <w:bCs w:val="false"/>
                <w:sz w:val="18"/>
                <w:szCs w:val="18"/>
              </w:rPr>
              <w:t xml:space="preserve">P4 Entlade-Durchsatz vs. Ø</w:t>
            </w:r>
          </w:p>
        </w:tc>
        <w:tc>
          <w:tcPr>
            <w:tcW w:type="dxa" w:w="1450"/>
            <w:tcMar>
              <w:top w:type="dxa" w:w="60"/>
              <w:left w:type="dxa" w:w="100"/>
              <w:bottom w:type="dxa" w:w="60"/>
              <w:right w:type="dxa" w:w="100"/>
            </w:tcMar>
          </w:tcPr>
          <w:p>
            <w:r>
              <w:rPr>
                <w:b w:val="false"/>
                <w:bCs w:val="false"/>
                <w:sz w:val="18"/>
                <w:szCs w:val="18"/>
              </w:rPr>
              <w:t xml:space="preserve">76 %</w:t>
            </w:r>
          </w:p>
        </w:tc>
        <w:tc>
          <w:tcPr>
            <w:tcW w:type="dxa" w:w="1450"/>
            <w:tcMar>
              <w:top w:type="dxa" w:w="60"/>
              <w:left w:type="dxa" w:w="100"/>
              <w:bottom w:type="dxa" w:w="60"/>
              <w:right w:type="dxa" w:w="100"/>
            </w:tcMar>
          </w:tcPr>
          <w:p>
            <w:r>
              <w:rPr>
                <w:b w:val="false"/>
                <w:bCs w:val="false"/>
                <w:sz w:val="18"/>
                <w:szCs w:val="18"/>
              </w:rPr>
              <w:t xml:space="preserve">85 %</w:t>
            </w:r>
          </w:p>
        </w:tc>
        <w:tc>
          <w:tcPr>
            <w:tcW w:type="dxa" w:w="1450"/>
            <w:tcMar>
              <w:top w:type="dxa" w:w="60"/>
              <w:left w:type="dxa" w:w="100"/>
              <w:bottom w:type="dxa" w:w="60"/>
              <w:right w:type="dxa" w:w="100"/>
            </w:tcMar>
          </w:tcPr>
          <w:p>
            <w:r>
              <w:rPr>
                <w:b w:val="false"/>
                <w:bCs w:val="false"/>
                <w:sz w:val="18"/>
                <w:szCs w:val="18"/>
              </w:rPr>
              <w:t xml:space="preserve">82 %</w:t>
            </w:r>
          </w:p>
        </w:tc>
        <w:tc>
          <w:tcPr>
            <w:tcW w:type="dxa" w:w="1450"/>
            <w:tcMar>
              <w:top w:type="dxa" w:w="60"/>
              <w:left w:type="dxa" w:w="100"/>
              <w:bottom w:type="dxa" w:w="60"/>
              <w:right w:type="dxa" w:w="100"/>
            </w:tcMar>
          </w:tcPr>
          <w:p>
            <w:r>
              <w:rPr>
                <w:b w:val="false"/>
                <w:bCs w:val="false"/>
                <w:sz w:val="18"/>
                <w:szCs w:val="18"/>
              </w:rPr>
              <w:t xml:space="preserve">81 %</w:t>
            </w:r>
          </w:p>
        </w:tc>
      </w:tr>
      <w:tr>
        <w:tc>
          <w:tcPr>
            <w:tcW w:type="dxa" w:w="2500"/>
            <w:tcMar>
              <w:top w:type="dxa" w:w="60"/>
              <w:left w:type="dxa" w:w="100"/>
              <w:bottom w:type="dxa" w:w="60"/>
              <w:right w:type="dxa" w:w="100"/>
            </w:tcMar>
          </w:tcPr>
          <w:p>
            <w:r>
              <w:rPr>
                <w:b w:val="false"/>
                <w:bCs w:val="false"/>
                <w:sz w:val="18"/>
                <w:szCs w:val="18"/>
              </w:rPr>
              <w:t xml:space="preserve">P4 Lade-Durchsatz vs. Ø</w:t>
            </w:r>
          </w:p>
        </w:tc>
        <w:tc>
          <w:tcPr>
            <w:tcW w:type="dxa" w:w="1450"/>
            <w:tcMar>
              <w:top w:type="dxa" w:w="60"/>
              <w:left w:type="dxa" w:w="100"/>
              <w:bottom w:type="dxa" w:w="60"/>
              <w:right w:type="dxa" w:w="100"/>
            </w:tcMar>
          </w:tcPr>
          <w:p>
            <w:r>
              <w:rPr>
                <w:b w:val="false"/>
                <w:bCs w:val="false"/>
                <w:sz w:val="18"/>
                <w:szCs w:val="18"/>
              </w:rPr>
              <w:t xml:space="preserve">81 %</w:t>
            </w:r>
          </w:p>
        </w:tc>
        <w:tc>
          <w:tcPr>
            <w:tcW w:type="dxa" w:w="1450"/>
            <w:tcMar>
              <w:top w:type="dxa" w:w="60"/>
              <w:left w:type="dxa" w:w="100"/>
              <w:bottom w:type="dxa" w:w="60"/>
              <w:right w:type="dxa" w:w="100"/>
            </w:tcMar>
          </w:tcPr>
          <w:p>
            <w:r>
              <w:rPr>
                <w:b w:val="false"/>
                <w:bCs w:val="false"/>
                <w:sz w:val="18"/>
                <w:szCs w:val="18"/>
              </w:rPr>
              <w:t xml:space="preserve">86 %</w:t>
            </w:r>
          </w:p>
        </w:tc>
        <w:tc>
          <w:tcPr>
            <w:tcW w:type="dxa" w:w="1450"/>
            <w:tcMar>
              <w:top w:type="dxa" w:w="60"/>
              <w:left w:type="dxa" w:w="100"/>
              <w:bottom w:type="dxa" w:w="60"/>
              <w:right w:type="dxa" w:w="100"/>
            </w:tcMar>
          </w:tcPr>
          <w:p>
            <w:r>
              <w:rPr>
                <w:b w:val="false"/>
                <w:bCs w:val="false"/>
                <w:sz w:val="18"/>
                <w:szCs w:val="18"/>
              </w:rPr>
              <w:t xml:space="preserve">84 %</w:t>
            </w:r>
          </w:p>
        </w:tc>
        <w:tc>
          <w:tcPr>
            <w:tcW w:type="dxa" w:w="1450"/>
            <w:tcMar>
              <w:top w:type="dxa" w:w="60"/>
              <w:left w:type="dxa" w:w="100"/>
              <w:bottom w:type="dxa" w:w="60"/>
              <w:right w:type="dxa" w:w="100"/>
            </w:tcMar>
          </w:tcPr>
          <w:p>
            <w:r>
              <w:rPr>
                <w:b w:val="false"/>
                <w:bCs w:val="false"/>
                <w:sz w:val="18"/>
                <w:szCs w:val="18"/>
              </w:rPr>
              <w:t xml:space="preserve">82 %</w:t>
            </w:r>
          </w:p>
        </w:tc>
      </w:tr>
      <w:tr>
        <w:tc>
          <w:tcPr>
            <w:tcW w:type="dxa" w:w="2500"/>
            <w:tcMar>
              <w:top w:type="dxa" w:w="60"/>
              <w:left w:type="dxa" w:w="100"/>
              <w:bottom w:type="dxa" w:w="60"/>
              <w:right w:type="dxa" w:w="100"/>
            </w:tcMar>
          </w:tcPr>
          <w:p>
            <w:r>
              <w:rPr>
                <w:b w:val="false"/>
                <w:bCs w:val="false"/>
                <w:sz w:val="18"/>
                <w:szCs w:val="18"/>
              </w:rPr>
              <w:t xml:space="preserve">P4 max. Modultemperatur</w:t>
            </w:r>
          </w:p>
        </w:tc>
        <w:tc>
          <w:tcPr>
            <w:tcW w:type="dxa" w:w="1450"/>
            <w:tcMar>
              <w:top w:type="dxa" w:w="60"/>
              <w:left w:type="dxa" w:w="100"/>
              <w:bottom w:type="dxa" w:w="60"/>
              <w:right w:type="dxa" w:w="100"/>
            </w:tcMar>
          </w:tcPr>
          <w:p>
            <w:r>
              <w:rPr>
                <w:b w:val="false"/>
                <w:bCs w:val="false"/>
                <w:sz w:val="18"/>
                <w:szCs w:val="18"/>
              </w:rPr>
              <w:t xml:space="preserve">41,2 °C</w:t>
            </w:r>
          </w:p>
        </w:tc>
        <w:tc>
          <w:tcPr>
            <w:tcW w:type="dxa" w:w="1450"/>
            <w:tcMar>
              <w:top w:type="dxa" w:w="60"/>
              <w:left w:type="dxa" w:w="100"/>
              <w:bottom w:type="dxa" w:w="60"/>
              <w:right w:type="dxa" w:w="100"/>
            </w:tcMar>
          </w:tcPr>
          <w:p>
            <w:r>
              <w:rPr>
                <w:b w:val="false"/>
                <w:bCs w:val="false"/>
                <w:sz w:val="18"/>
                <w:szCs w:val="18"/>
              </w:rPr>
              <w:t xml:space="preserve">38,2 °C</w:t>
            </w:r>
          </w:p>
        </w:tc>
        <w:tc>
          <w:tcPr>
            <w:tcW w:type="dxa" w:w="1450"/>
            <w:tcMar>
              <w:top w:type="dxa" w:w="60"/>
              <w:left w:type="dxa" w:w="100"/>
              <w:bottom w:type="dxa" w:w="60"/>
              <w:right w:type="dxa" w:w="100"/>
            </w:tcMar>
          </w:tcPr>
          <w:p>
            <w:r>
              <w:rPr>
                <w:b w:val="false"/>
                <w:bCs w:val="false"/>
                <w:sz w:val="18"/>
                <w:szCs w:val="18"/>
              </w:rPr>
              <w:t xml:space="preserve">48,0 °C</w:t>
            </w:r>
          </w:p>
        </w:tc>
        <w:tc>
          <w:tcPr>
            <w:tcW w:type="dxa" w:w="1450"/>
            <w:shd w:fill="FAEEDA" w:color="auto" w:val="clear"/>
            <w:tcMar>
              <w:top w:type="dxa" w:w="60"/>
              <w:left w:type="dxa" w:w="100"/>
              <w:bottom w:type="dxa" w:w="60"/>
              <w:right w:type="dxa" w:w="100"/>
            </w:tcMar>
          </w:tcPr>
          <w:p>
            <w:r>
              <w:rPr>
                <w:b w:val="false"/>
                <w:bCs w:val="false"/>
                <w:sz w:val="18"/>
                <w:szCs w:val="18"/>
              </w:rPr>
              <w:t xml:space="preserve">49,6 °C</w:t>
            </w:r>
          </w:p>
        </w:tc>
      </w:tr>
    </w:tbl>
    <w:p>
      <w:pPr>
        <w:spacing w:after="160" w:before="120"/>
        <w:jc w:val="center"/>
      </w:pPr>
      <w:r>
        <w:drawing>
          <wp:inline distT="0" distB="0" distL="0" distR="0">
            <wp:extent cx="5334000" cy="25146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334000" cy="2514600"/>
                    </a:xfrm>
                    <a:prstGeom prst="rect">
                      <a:avLst/>
                    </a:prstGeom>
                  </pic:spPr>
                </pic:pic>
              </a:graphicData>
            </a:graphic>
          </wp:inline>
        </w:drawing>
      </w:r>
    </w:p>
    <w:p>
      <w:pPr>
        <w:spacing w:after="200"/>
        <w:jc w:val="center"/>
      </w:pPr>
      <w:r>
        <w:rPr>
          <w:i/>
          <w:iCs/>
          <w:color w:val="5F5E5A"/>
          <w:sz w:val="17"/>
          <w:szCs w:val="17"/>
        </w:rPr>
        <w:t xml:space="preserve">Abb. 1: P4 war im August 2025 unauffällig (Widerstand unter dem Durchschnitt der anderen Module) und hat sich seither fortschreitend verschlechtert.</w:t>
      </w:r>
    </w:p>
    <w:p>
      <w:pPr>
        <w:spacing w:after="120"/>
      </w:pPr>
      <w:r>
        <w:rPr>
          <w:sz w:val="21"/>
          <w:szCs w:val="21"/>
        </w:rPr>
        <w:t xml:space="preserve">Entscheidend ist der Ausgangspunkt: Im August 2025 lag P4 mit seinem effektiven Widerstand unterhalb des Durchschnitts der übrigen Module. Ein systematischer Methodenfehler hätte bereits dort einen scheinbaren Überschuss erzeugen müssen. Der monotone Anstieg von negativ zu deutlich positiv über drei unabhängige Datensätze belegt eine reale, fortschreitende Veränderung des Moduls.</w:t>
      </w:r>
    </w:p>
    <w:p>
      <w:pPr>
        <w:spacing w:after="120"/>
      </w:pPr>
      <w:r>
        <w:rPr>
          <w:sz w:val="21"/>
          <w:szCs w:val="21"/>
        </w:rPr>
        <w:t xml:space="preserve">Als Folge nimmt P4 in beide Stromrichtungen systematisch weniger Strom auf bzw. ab (geringster Lade- und Entlade-Durchsatz aller vier Module), wodurch sein gemeldeter Ladezustand dauerhaft über dem der übrigen Module liegt.</w:t>
      </w:r>
    </w:p>
    <w:p>
      <w:r>
        <w:br/>
        <w:t xml:space="preserve"/>
      </w:r>
    </w:p>
    <w:p>
      <w:pPr>
        <w:pStyle w:val="Heading1"/>
        <w:spacing w:after="120" w:before="260"/>
      </w:pPr>
      <w:r>
        <w:rPr>
          <w:b/>
          <w:bCs/>
          <w:color w:val="2E4A7B"/>
          <w:sz w:val="26"/>
          <w:szCs w:val="26"/>
        </w:rPr>
        <w:t xml:space="preserve">4. Befund Zellebene: Dauerlasttest vom 12.07.2026</w:t>
      </w:r>
    </w:p>
    <w:p>
      <w:pPr>
        <w:pStyle w:val="Heading2"/>
        <w:spacing w:after="100" w:before="200"/>
      </w:pPr>
      <w:r>
        <w:rPr>
          <w:b/>
          <w:bCs/>
          <w:color w:val="2E4A7B"/>
          <w:sz w:val="23"/>
          <w:szCs w:val="23"/>
        </w:rPr>
        <w:t xml:space="preserve">4.1 Versuchsaufbau</w:t>
      </w:r>
    </w:p>
    <w:p>
      <w:pPr>
        <w:spacing w:after="120"/>
      </w:pPr>
      <w:r>
        <w:rPr>
          <w:sz w:val="21"/>
          <w:szCs w:val="21"/>
        </w:rPr>
        <w:t xml:space="preserve">Der Stack wurde aus dem mittleren Ladezustandsbereich (P1–P3 bei 61 %, flacher Bereich der LiFePO4-Kennlinie) mit konstanter Last von rund 56 A entladen. In diesem Kennlinienbereich sind ladezustandsbedingte Spannungsunterschiede zwischen Zellen vernachlässigbar; sichtbare Spreizungen sind daher nahezu vollständig auf Innenwiderstand zurückzuführen. Die Zellspannungen aller vier Module wurden über 66 Minuten in Intervallen erfasst.</w:t>
      </w:r>
    </w:p>
    <w:p>
      <w:pPr>
        <w:pStyle w:val="Heading2"/>
        <w:spacing w:after="100" w:before="200"/>
      </w:pPr>
      <w:r>
        <w:rPr>
          <w:b/>
          <w:bCs/>
          <w:color w:val="2E4A7B"/>
          <w:sz w:val="23"/>
          <w:szCs w:val="23"/>
        </w:rPr>
        <w:t xml:space="preserve">4.2 Ergebnis</w:t>
      </w:r>
    </w:p>
    <w:p>
      <w:pPr>
        <w:spacing w:after="120"/>
      </w:pPr>
      <w:r>
        <w:rPr>
          <w:sz w:val="21"/>
          <w:szCs w:val="21"/>
        </w:rPr>
        <w:t xml:space="preserve">Die Zellen 12/13/14 des Moduls P4 — insbesondere Zelle 13 — brachen unter der Last progressiv ein.</w:t>
      </w:r>
    </w:p>
    <w:p>
      <w:pPr>
        <w:spacing w:after="120"/>
      </w:pPr>
      <w:r>
        <w:rPr>
          <w:sz w:val="21"/>
          <w:szCs w:val="21"/>
        </w:rPr>
        <w:t xml:space="preserve">Zur Einordnung: Eine leichte, über die Lastdauer zunehmende Zellspreizung (Polarisation) tritt bei allen vier Modulen auf und ist normal. Entscheidend ist das Ausmaß. Über die 66 Minuten Testdauer stieg die Spreizung bei P1 von 1 auf 3 mV, bei P2 von 2 auf 5 mV und bei P3 von 2 auf 6 mV. Bei P4 stieg sie im selben Zeitraum von 12 auf 46 mV — der Zuwachs ist um den Faktor 8 bis 16 größer als bei den drei baugleichen Modulen.</w:t>
      </w:r>
    </w:p>
    <w:tbl>
      <w:tblPr>
        <w:tblW w:type="dxa" w:w="8300"/>
        <w:tblBorders>
          <w:top w:val="single" w:color="auto" w:sz="4"/>
          <w:left w:val="single" w:color="auto" w:sz="4"/>
          <w:bottom w:val="single" w:color="auto" w:sz="4"/>
          <w:right w:val="single" w:color="auto" w:sz="4"/>
          <w:insideH w:val="single" w:color="auto" w:sz="4"/>
          <w:insideV w:val="single" w:color="auto" w:sz="4"/>
        </w:tblBorders>
      </w:tblPr>
      <w:tblGrid>
        <w:gridCol w:w="1500"/>
        <w:gridCol w:w="1700"/>
        <w:gridCol w:w="1900"/>
        <w:gridCol w:w="1900"/>
        <w:gridCol w:w="1300"/>
      </w:tblGrid>
      <w:tr>
        <w:tc>
          <w:tcPr>
            <w:tcW w:type="dxa" w:w="1500"/>
            <w:shd w:fill="F1EFE8" w:color="auto" w:val="clear"/>
            <w:tcMar>
              <w:top w:type="dxa" w:w="60"/>
              <w:left w:type="dxa" w:w="100"/>
              <w:bottom w:type="dxa" w:w="60"/>
              <w:right w:type="dxa" w:w="100"/>
            </w:tcMar>
          </w:tcPr>
          <w:p>
            <w:r>
              <w:rPr>
                <w:b/>
                <w:bCs/>
                <w:sz w:val="18"/>
                <w:szCs w:val="18"/>
              </w:rPr>
              <w:t xml:space="preserve">Dauer</w:t>
            </w:r>
          </w:p>
        </w:tc>
        <w:tc>
          <w:tcPr>
            <w:tcW w:type="dxa" w:w="1700"/>
            <w:shd w:fill="F1EFE8" w:color="auto" w:val="clear"/>
            <w:tcMar>
              <w:top w:type="dxa" w:w="60"/>
              <w:left w:type="dxa" w:w="100"/>
              <w:bottom w:type="dxa" w:w="60"/>
              <w:right w:type="dxa" w:w="100"/>
            </w:tcMar>
          </w:tcPr>
          <w:p>
            <w:r>
              <w:rPr>
                <w:b/>
                <w:bCs/>
                <w:sz w:val="18"/>
                <w:szCs w:val="18"/>
              </w:rPr>
              <w:t xml:space="preserve">Strom P4</w:t>
            </w:r>
          </w:p>
        </w:tc>
        <w:tc>
          <w:tcPr>
            <w:tcW w:type="dxa" w:w="1900"/>
            <w:shd w:fill="F1EFE8" w:color="auto" w:val="clear"/>
            <w:tcMar>
              <w:top w:type="dxa" w:w="60"/>
              <w:left w:type="dxa" w:w="100"/>
              <w:bottom w:type="dxa" w:w="60"/>
              <w:right w:type="dxa" w:w="100"/>
            </w:tcMar>
          </w:tcPr>
          <w:p>
            <w:r>
              <w:rPr>
                <w:b/>
                <w:bCs/>
                <w:sz w:val="18"/>
                <w:szCs w:val="18"/>
              </w:rPr>
              <w:t xml:space="preserve">Zelle 13</w:t>
            </w:r>
          </w:p>
        </w:tc>
        <w:tc>
          <w:tcPr>
            <w:tcW w:type="dxa" w:w="1900"/>
            <w:shd w:fill="F1EFE8" w:color="auto" w:val="clear"/>
            <w:tcMar>
              <w:top w:type="dxa" w:w="60"/>
              <w:left w:type="dxa" w:w="100"/>
              <w:bottom w:type="dxa" w:w="60"/>
              <w:right w:type="dxa" w:w="100"/>
            </w:tcMar>
          </w:tcPr>
          <w:p>
            <w:r>
              <w:rPr>
                <w:b/>
                <w:bCs/>
                <w:sz w:val="18"/>
                <w:szCs w:val="18"/>
              </w:rPr>
              <w:t xml:space="preserve">Abstand zur höchsten Zelle in P4</w:t>
            </w:r>
          </w:p>
        </w:tc>
        <w:tc>
          <w:tcPr>
            <w:tcW w:type="dxa" w:w="1300"/>
            <w:shd w:fill="F1EFE8" w:color="auto" w:val="clear"/>
            <w:tcMar>
              <w:top w:type="dxa" w:w="60"/>
              <w:left w:type="dxa" w:w="100"/>
              <w:bottom w:type="dxa" w:w="60"/>
              <w:right w:type="dxa" w:w="100"/>
            </w:tcMar>
          </w:tcPr>
          <w:p>
            <w:r>
              <w:rPr>
                <w:b/>
                <w:bCs/>
                <w:sz w:val="18"/>
                <w:szCs w:val="18"/>
              </w:rPr>
              <w:t xml:space="preserve">Eff. Widerstand</w:t>
            </w:r>
          </w:p>
        </w:tc>
      </w:tr>
      <w:tr>
        <w:tc>
          <w:tcPr>
            <w:tcW w:type="dxa" w:w="1500"/>
            <w:tcMar>
              <w:top w:type="dxa" w:w="60"/>
              <w:left w:type="dxa" w:w="100"/>
              <w:bottom w:type="dxa" w:w="60"/>
              <w:right w:type="dxa" w:w="100"/>
            </w:tcMar>
          </w:tcPr>
          <w:p>
            <w:r>
              <w:rPr>
                <w:b w:val="false"/>
                <w:bCs w:val="false"/>
                <w:sz w:val="18"/>
                <w:szCs w:val="18"/>
              </w:rPr>
              <w:t xml:space="preserve">2 min</w:t>
            </w:r>
          </w:p>
        </w:tc>
        <w:tc>
          <w:tcPr>
            <w:tcW w:type="dxa" w:w="1700"/>
            <w:tcMar>
              <w:top w:type="dxa" w:w="60"/>
              <w:left w:type="dxa" w:w="100"/>
              <w:bottom w:type="dxa" w:w="60"/>
              <w:right w:type="dxa" w:w="100"/>
            </w:tcMar>
          </w:tcPr>
          <w:p>
            <w:r>
              <w:rPr>
                <w:b w:val="false"/>
                <w:bCs w:val="false"/>
                <w:sz w:val="18"/>
                <w:szCs w:val="18"/>
              </w:rPr>
              <w:t xml:space="preserve">13,48 A</w:t>
            </w:r>
          </w:p>
        </w:tc>
        <w:tc>
          <w:tcPr>
            <w:tcW w:type="dxa" w:w="1900"/>
            <w:tcMar>
              <w:top w:type="dxa" w:w="60"/>
              <w:left w:type="dxa" w:w="100"/>
              <w:bottom w:type="dxa" w:w="60"/>
              <w:right w:type="dxa" w:w="100"/>
            </w:tcMar>
          </w:tcPr>
          <w:p>
            <w:r>
              <w:rPr>
                <w:b w:val="false"/>
                <w:bCs w:val="false"/>
                <w:sz w:val="18"/>
                <w:szCs w:val="18"/>
              </w:rPr>
              <w:t xml:space="preserve">3,245 V</w:t>
            </w:r>
          </w:p>
        </w:tc>
        <w:tc>
          <w:tcPr>
            <w:tcW w:type="dxa" w:w="1900"/>
            <w:tcMar>
              <w:top w:type="dxa" w:w="60"/>
              <w:left w:type="dxa" w:w="100"/>
              <w:bottom w:type="dxa" w:w="60"/>
              <w:right w:type="dxa" w:w="100"/>
            </w:tcMar>
          </w:tcPr>
          <w:p>
            <w:r>
              <w:rPr>
                <w:b w:val="false"/>
                <w:bCs w:val="false"/>
                <w:sz w:val="18"/>
                <w:szCs w:val="18"/>
              </w:rPr>
              <w:t xml:space="preserve">12 mV</w:t>
            </w:r>
          </w:p>
        </w:tc>
        <w:tc>
          <w:tcPr>
            <w:tcW w:type="dxa" w:w="1300"/>
            <w:tcMar>
              <w:top w:type="dxa" w:w="60"/>
              <w:left w:type="dxa" w:w="100"/>
              <w:bottom w:type="dxa" w:w="60"/>
              <w:right w:type="dxa" w:w="100"/>
            </w:tcMar>
          </w:tcPr>
          <w:p>
            <w:r>
              <w:rPr>
                <w:b w:val="false"/>
                <w:bCs w:val="false"/>
                <w:sz w:val="18"/>
                <w:szCs w:val="18"/>
              </w:rPr>
              <w:t xml:space="preserve">0,9 mΩ</w:t>
            </w:r>
          </w:p>
        </w:tc>
      </w:tr>
      <w:tr>
        <w:tc>
          <w:tcPr>
            <w:tcW w:type="dxa" w:w="1500"/>
            <w:tcMar>
              <w:top w:type="dxa" w:w="60"/>
              <w:left w:type="dxa" w:w="100"/>
              <w:bottom w:type="dxa" w:w="60"/>
              <w:right w:type="dxa" w:w="100"/>
            </w:tcMar>
          </w:tcPr>
          <w:p>
            <w:r>
              <w:rPr>
                <w:b w:val="false"/>
                <w:bCs w:val="false"/>
                <w:sz w:val="18"/>
                <w:szCs w:val="18"/>
              </w:rPr>
              <w:t xml:space="preserve">17 min</w:t>
            </w:r>
          </w:p>
        </w:tc>
        <w:tc>
          <w:tcPr>
            <w:tcW w:type="dxa" w:w="1700"/>
            <w:tcMar>
              <w:top w:type="dxa" w:w="60"/>
              <w:left w:type="dxa" w:w="100"/>
              <w:bottom w:type="dxa" w:w="60"/>
              <w:right w:type="dxa" w:w="100"/>
            </w:tcMar>
          </w:tcPr>
          <w:p>
            <w:r>
              <w:rPr>
                <w:b w:val="false"/>
                <w:bCs w:val="false"/>
                <w:sz w:val="18"/>
                <w:szCs w:val="18"/>
              </w:rPr>
              <w:t xml:space="preserve">13,17 A</w:t>
            </w:r>
          </w:p>
        </w:tc>
        <w:tc>
          <w:tcPr>
            <w:tcW w:type="dxa" w:w="1900"/>
            <w:tcMar>
              <w:top w:type="dxa" w:w="60"/>
              <w:left w:type="dxa" w:w="100"/>
              <w:bottom w:type="dxa" w:w="60"/>
              <w:right w:type="dxa" w:w="100"/>
            </w:tcMar>
          </w:tcPr>
          <w:p>
            <w:r>
              <w:rPr>
                <w:b w:val="false"/>
                <w:bCs w:val="false"/>
                <w:sz w:val="18"/>
                <w:szCs w:val="18"/>
              </w:rPr>
              <w:t xml:space="preserve">3,237 V</w:t>
            </w:r>
          </w:p>
        </w:tc>
        <w:tc>
          <w:tcPr>
            <w:tcW w:type="dxa" w:w="1900"/>
            <w:tcMar>
              <w:top w:type="dxa" w:w="60"/>
              <w:left w:type="dxa" w:w="100"/>
              <w:bottom w:type="dxa" w:w="60"/>
              <w:right w:type="dxa" w:w="100"/>
            </w:tcMar>
          </w:tcPr>
          <w:p>
            <w:r>
              <w:rPr>
                <w:b w:val="false"/>
                <w:bCs w:val="false"/>
                <w:sz w:val="18"/>
                <w:szCs w:val="18"/>
              </w:rPr>
              <w:t xml:space="preserve">19 mV</w:t>
            </w:r>
          </w:p>
        </w:tc>
        <w:tc>
          <w:tcPr>
            <w:tcW w:type="dxa" w:w="1300"/>
            <w:tcMar>
              <w:top w:type="dxa" w:w="60"/>
              <w:left w:type="dxa" w:w="100"/>
              <w:bottom w:type="dxa" w:w="60"/>
              <w:right w:type="dxa" w:w="100"/>
            </w:tcMar>
          </w:tcPr>
          <w:p>
            <w:r>
              <w:rPr>
                <w:b w:val="false"/>
                <w:bCs w:val="false"/>
                <w:sz w:val="18"/>
                <w:szCs w:val="18"/>
              </w:rPr>
              <w:t xml:space="preserve">1,4 mΩ</w:t>
            </w:r>
          </w:p>
        </w:tc>
      </w:tr>
      <w:tr>
        <w:tc>
          <w:tcPr>
            <w:tcW w:type="dxa" w:w="1500"/>
            <w:tcMar>
              <w:top w:type="dxa" w:w="60"/>
              <w:left w:type="dxa" w:w="100"/>
              <w:bottom w:type="dxa" w:w="60"/>
              <w:right w:type="dxa" w:w="100"/>
            </w:tcMar>
          </w:tcPr>
          <w:p>
            <w:r>
              <w:rPr>
                <w:b w:val="false"/>
                <w:bCs w:val="false"/>
                <w:sz w:val="18"/>
                <w:szCs w:val="18"/>
              </w:rPr>
              <w:t xml:space="preserve">23 min</w:t>
            </w:r>
          </w:p>
        </w:tc>
        <w:tc>
          <w:tcPr>
            <w:tcW w:type="dxa" w:w="1700"/>
            <w:tcMar>
              <w:top w:type="dxa" w:w="60"/>
              <w:left w:type="dxa" w:w="100"/>
              <w:bottom w:type="dxa" w:w="60"/>
              <w:right w:type="dxa" w:w="100"/>
            </w:tcMar>
          </w:tcPr>
          <w:p>
            <w:r>
              <w:rPr>
                <w:b w:val="false"/>
                <w:bCs w:val="false"/>
                <w:sz w:val="18"/>
                <w:szCs w:val="18"/>
              </w:rPr>
              <w:t xml:space="preserve">13,01 A</w:t>
            </w:r>
          </w:p>
        </w:tc>
        <w:tc>
          <w:tcPr>
            <w:tcW w:type="dxa" w:w="1900"/>
            <w:tcMar>
              <w:top w:type="dxa" w:w="60"/>
              <w:left w:type="dxa" w:w="100"/>
              <w:bottom w:type="dxa" w:w="60"/>
              <w:right w:type="dxa" w:w="100"/>
            </w:tcMar>
          </w:tcPr>
          <w:p>
            <w:r>
              <w:rPr>
                <w:b w:val="false"/>
                <w:bCs w:val="false"/>
                <w:sz w:val="18"/>
                <w:szCs w:val="18"/>
              </w:rPr>
              <w:t xml:space="preserve">3,234 V</w:t>
            </w:r>
          </w:p>
        </w:tc>
        <w:tc>
          <w:tcPr>
            <w:tcW w:type="dxa" w:w="1900"/>
            <w:tcMar>
              <w:top w:type="dxa" w:w="60"/>
              <w:left w:type="dxa" w:w="100"/>
              <w:bottom w:type="dxa" w:w="60"/>
              <w:right w:type="dxa" w:w="100"/>
            </w:tcMar>
          </w:tcPr>
          <w:p>
            <w:r>
              <w:rPr>
                <w:b w:val="false"/>
                <w:bCs w:val="false"/>
                <w:sz w:val="18"/>
                <w:szCs w:val="18"/>
              </w:rPr>
              <w:t xml:space="preserve">22 mV</w:t>
            </w:r>
          </w:p>
        </w:tc>
        <w:tc>
          <w:tcPr>
            <w:tcW w:type="dxa" w:w="1300"/>
            <w:tcMar>
              <w:top w:type="dxa" w:w="60"/>
              <w:left w:type="dxa" w:w="100"/>
              <w:bottom w:type="dxa" w:w="60"/>
              <w:right w:type="dxa" w:w="100"/>
            </w:tcMar>
          </w:tcPr>
          <w:p>
            <w:r>
              <w:rPr>
                <w:b w:val="false"/>
                <w:bCs w:val="false"/>
                <w:sz w:val="18"/>
                <w:szCs w:val="18"/>
              </w:rPr>
              <w:t xml:space="preserve">1,7 mΩ</w:t>
            </w:r>
          </w:p>
        </w:tc>
      </w:tr>
      <w:tr>
        <w:tc>
          <w:tcPr>
            <w:tcW w:type="dxa" w:w="1500"/>
            <w:tcMar>
              <w:top w:type="dxa" w:w="60"/>
              <w:left w:type="dxa" w:w="100"/>
              <w:bottom w:type="dxa" w:w="60"/>
              <w:right w:type="dxa" w:w="100"/>
            </w:tcMar>
          </w:tcPr>
          <w:p>
            <w:r>
              <w:rPr>
                <w:b w:val="false"/>
                <w:bCs w:val="false"/>
                <w:sz w:val="18"/>
                <w:szCs w:val="18"/>
              </w:rPr>
              <w:t xml:space="preserve">37 min</w:t>
            </w:r>
          </w:p>
        </w:tc>
        <w:tc>
          <w:tcPr>
            <w:tcW w:type="dxa" w:w="1700"/>
            <w:tcMar>
              <w:top w:type="dxa" w:w="60"/>
              <w:left w:type="dxa" w:w="100"/>
              <w:bottom w:type="dxa" w:w="60"/>
              <w:right w:type="dxa" w:w="100"/>
            </w:tcMar>
          </w:tcPr>
          <w:p>
            <w:r>
              <w:rPr>
                <w:b w:val="false"/>
                <w:bCs w:val="false"/>
                <w:sz w:val="18"/>
                <w:szCs w:val="18"/>
              </w:rPr>
              <w:t xml:space="preserve">12,21 A</w:t>
            </w:r>
          </w:p>
        </w:tc>
        <w:tc>
          <w:tcPr>
            <w:tcW w:type="dxa" w:w="1900"/>
            <w:tcMar>
              <w:top w:type="dxa" w:w="60"/>
              <w:left w:type="dxa" w:w="100"/>
              <w:bottom w:type="dxa" w:w="60"/>
              <w:right w:type="dxa" w:w="100"/>
            </w:tcMar>
          </w:tcPr>
          <w:p>
            <w:r>
              <w:rPr>
                <w:b w:val="false"/>
                <w:bCs w:val="false"/>
                <w:sz w:val="18"/>
                <w:szCs w:val="18"/>
              </w:rPr>
              <w:t xml:space="preserve">3,222 V</w:t>
            </w:r>
          </w:p>
        </w:tc>
        <w:tc>
          <w:tcPr>
            <w:tcW w:type="dxa" w:w="1900"/>
            <w:tcMar>
              <w:top w:type="dxa" w:w="60"/>
              <w:left w:type="dxa" w:w="100"/>
              <w:bottom w:type="dxa" w:w="60"/>
              <w:right w:type="dxa" w:w="100"/>
            </w:tcMar>
          </w:tcPr>
          <w:p>
            <w:r>
              <w:rPr>
                <w:b w:val="false"/>
                <w:bCs w:val="false"/>
                <w:sz w:val="18"/>
                <w:szCs w:val="18"/>
              </w:rPr>
              <w:t xml:space="preserve">29 mV</w:t>
            </w:r>
          </w:p>
        </w:tc>
        <w:tc>
          <w:tcPr>
            <w:tcW w:type="dxa" w:w="1300"/>
            <w:tcMar>
              <w:top w:type="dxa" w:w="60"/>
              <w:left w:type="dxa" w:w="100"/>
              <w:bottom w:type="dxa" w:w="60"/>
              <w:right w:type="dxa" w:w="100"/>
            </w:tcMar>
          </w:tcPr>
          <w:p>
            <w:r>
              <w:rPr>
                <w:b w:val="false"/>
                <w:bCs w:val="false"/>
                <w:sz w:val="18"/>
                <w:szCs w:val="18"/>
              </w:rPr>
              <w:t xml:space="preserve">2,4 mΩ</w:t>
            </w:r>
          </w:p>
        </w:tc>
      </w:tr>
      <w:tr>
        <w:tc>
          <w:tcPr>
            <w:tcW w:type="dxa" w:w="1500"/>
            <w:tcMar>
              <w:top w:type="dxa" w:w="60"/>
              <w:left w:type="dxa" w:w="100"/>
              <w:bottom w:type="dxa" w:w="60"/>
              <w:right w:type="dxa" w:w="100"/>
            </w:tcMar>
          </w:tcPr>
          <w:p>
            <w:r>
              <w:rPr>
                <w:b w:val="false"/>
                <w:bCs w:val="false"/>
                <w:sz w:val="18"/>
                <w:szCs w:val="18"/>
              </w:rPr>
              <w:t xml:space="preserve">42 min</w:t>
            </w:r>
          </w:p>
        </w:tc>
        <w:tc>
          <w:tcPr>
            <w:tcW w:type="dxa" w:w="1700"/>
            <w:tcMar>
              <w:top w:type="dxa" w:w="60"/>
              <w:left w:type="dxa" w:w="100"/>
              <w:bottom w:type="dxa" w:w="60"/>
              <w:right w:type="dxa" w:w="100"/>
            </w:tcMar>
          </w:tcPr>
          <w:p>
            <w:r>
              <w:rPr>
                <w:b w:val="false"/>
                <w:bCs w:val="false"/>
                <w:sz w:val="18"/>
                <w:szCs w:val="18"/>
              </w:rPr>
              <w:t xml:space="preserve">11,90 A</w:t>
            </w:r>
          </w:p>
        </w:tc>
        <w:tc>
          <w:tcPr>
            <w:tcW w:type="dxa" w:w="1900"/>
            <w:tcMar>
              <w:top w:type="dxa" w:w="60"/>
              <w:left w:type="dxa" w:w="100"/>
              <w:bottom w:type="dxa" w:w="60"/>
              <w:right w:type="dxa" w:w="100"/>
            </w:tcMar>
          </w:tcPr>
          <w:p>
            <w:r>
              <w:rPr>
                <w:b w:val="false"/>
                <w:bCs w:val="false"/>
                <w:sz w:val="18"/>
                <w:szCs w:val="18"/>
              </w:rPr>
              <w:t xml:space="preserve">3,230 V</w:t>
            </w:r>
          </w:p>
        </w:tc>
        <w:tc>
          <w:tcPr>
            <w:tcW w:type="dxa" w:w="1900"/>
            <w:tcMar>
              <w:top w:type="dxa" w:w="60"/>
              <w:left w:type="dxa" w:w="100"/>
              <w:bottom w:type="dxa" w:w="60"/>
              <w:right w:type="dxa" w:w="100"/>
            </w:tcMar>
          </w:tcPr>
          <w:p>
            <w:r>
              <w:rPr>
                <w:b w:val="false"/>
                <w:bCs w:val="false"/>
                <w:sz w:val="18"/>
                <w:szCs w:val="18"/>
              </w:rPr>
              <w:t xml:space="preserve">34 mV</w:t>
            </w:r>
          </w:p>
        </w:tc>
        <w:tc>
          <w:tcPr>
            <w:tcW w:type="dxa" w:w="1300"/>
            <w:tcMar>
              <w:top w:type="dxa" w:w="60"/>
              <w:left w:type="dxa" w:w="100"/>
              <w:bottom w:type="dxa" w:w="60"/>
              <w:right w:type="dxa" w:w="100"/>
            </w:tcMar>
          </w:tcPr>
          <w:p>
            <w:r>
              <w:rPr>
                <w:b w:val="false"/>
                <w:bCs w:val="false"/>
                <w:sz w:val="18"/>
                <w:szCs w:val="18"/>
              </w:rPr>
              <w:t xml:space="preserve">2,9 mΩ</w:t>
            </w:r>
          </w:p>
        </w:tc>
      </w:tr>
      <w:tr>
        <w:tc>
          <w:tcPr>
            <w:tcW w:type="dxa" w:w="1500"/>
            <w:tcMar>
              <w:top w:type="dxa" w:w="60"/>
              <w:left w:type="dxa" w:w="100"/>
              <w:bottom w:type="dxa" w:w="60"/>
              <w:right w:type="dxa" w:w="100"/>
            </w:tcMar>
          </w:tcPr>
          <w:p>
            <w:r>
              <w:rPr>
                <w:b w:val="false"/>
                <w:bCs w:val="false"/>
                <w:sz w:val="18"/>
                <w:szCs w:val="18"/>
              </w:rPr>
              <w:t xml:space="preserve">55 min</w:t>
            </w:r>
          </w:p>
        </w:tc>
        <w:tc>
          <w:tcPr>
            <w:tcW w:type="dxa" w:w="1700"/>
            <w:tcMar>
              <w:top w:type="dxa" w:w="60"/>
              <w:left w:type="dxa" w:w="100"/>
              <w:bottom w:type="dxa" w:w="60"/>
              <w:right w:type="dxa" w:w="100"/>
            </w:tcMar>
          </w:tcPr>
          <w:p>
            <w:r>
              <w:rPr>
                <w:b w:val="false"/>
                <w:bCs w:val="false"/>
                <w:sz w:val="18"/>
                <w:szCs w:val="18"/>
              </w:rPr>
              <w:t xml:space="preserve">11,60 A</w:t>
            </w:r>
          </w:p>
        </w:tc>
        <w:tc>
          <w:tcPr>
            <w:tcW w:type="dxa" w:w="1900"/>
            <w:tcMar>
              <w:top w:type="dxa" w:w="60"/>
              <w:left w:type="dxa" w:w="100"/>
              <w:bottom w:type="dxa" w:w="60"/>
              <w:right w:type="dxa" w:w="100"/>
            </w:tcMar>
          </w:tcPr>
          <w:p>
            <w:r>
              <w:rPr>
                <w:b w:val="false"/>
                <w:bCs w:val="false"/>
                <w:sz w:val="18"/>
                <w:szCs w:val="18"/>
              </w:rPr>
              <w:t xml:space="preserve">3,215 V</w:t>
            </w:r>
          </w:p>
        </w:tc>
        <w:tc>
          <w:tcPr>
            <w:tcW w:type="dxa" w:w="1900"/>
            <w:tcMar>
              <w:top w:type="dxa" w:w="60"/>
              <w:left w:type="dxa" w:w="100"/>
              <w:bottom w:type="dxa" w:w="60"/>
              <w:right w:type="dxa" w:w="100"/>
            </w:tcMar>
          </w:tcPr>
          <w:p>
            <w:r>
              <w:rPr>
                <w:b w:val="false"/>
                <w:bCs w:val="false"/>
                <w:sz w:val="18"/>
                <w:szCs w:val="18"/>
              </w:rPr>
              <w:t xml:space="preserve">40 mV</w:t>
            </w:r>
          </w:p>
        </w:tc>
        <w:tc>
          <w:tcPr>
            <w:tcW w:type="dxa" w:w="1300"/>
            <w:tcMar>
              <w:top w:type="dxa" w:w="60"/>
              <w:left w:type="dxa" w:w="100"/>
              <w:bottom w:type="dxa" w:w="60"/>
              <w:right w:type="dxa" w:w="100"/>
            </w:tcMar>
          </w:tcPr>
          <w:p>
            <w:r>
              <w:rPr>
                <w:b w:val="false"/>
                <w:bCs w:val="false"/>
                <w:sz w:val="18"/>
                <w:szCs w:val="18"/>
              </w:rPr>
              <w:t xml:space="preserve">3,4 mΩ</w:t>
            </w:r>
          </w:p>
        </w:tc>
      </w:tr>
      <w:tr>
        <w:tc>
          <w:tcPr>
            <w:tcW w:type="dxa" w:w="1500"/>
            <w:tcMar>
              <w:top w:type="dxa" w:w="60"/>
              <w:left w:type="dxa" w:w="100"/>
              <w:bottom w:type="dxa" w:w="60"/>
              <w:right w:type="dxa" w:w="100"/>
            </w:tcMar>
          </w:tcPr>
          <w:p>
            <w:r>
              <w:rPr>
                <w:b w:val="false"/>
                <w:bCs w:val="false"/>
                <w:sz w:val="18"/>
                <w:szCs w:val="18"/>
              </w:rPr>
              <w:t xml:space="preserve">61 min</w:t>
            </w:r>
          </w:p>
        </w:tc>
        <w:tc>
          <w:tcPr>
            <w:tcW w:type="dxa" w:w="1700"/>
            <w:tcMar>
              <w:top w:type="dxa" w:w="60"/>
              <w:left w:type="dxa" w:w="100"/>
              <w:bottom w:type="dxa" w:w="60"/>
              <w:right w:type="dxa" w:w="100"/>
            </w:tcMar>
          </w:tcPr>
          <w:p>
            <w:r>
              <w:rPr>
                <w:b w:val="false"/>
                <w:bCs w:val="false"/>
                <w:sz w:val="18"/>
                <w:szCs w:val="18"/>
              </w:rPr>
              <w:t xml:space="preserve">11,55 A</w:t>
            </w:r>
          </w:p>
        </w:tc>
        <w:tc>
          <w:tcPr>
            <w:tcW w:type="dxa" w:w="1900"/>
            <w:tcMar>
              <w:top w:type="dxa" w:w="60"/>
              <w:left w:type="dxa" w:w="100"/>
              <w:bottom w:type="dxa" w:w="60"/>
              <w:right w:type="dxa" w:w="100"/>
            </w:tcMar>
          </w:tcPr>
          <w:p>
            <w:r>
              <w:rPr>
                <w:b w:val="false"/>
                <w:bCs w:val="false"/>
                <w:sz w:val="18"/>
                <w:szCs w:val="18"/>
              </w:rPr>
              <w:t xml:space="preserve">3,208 V</w:t>
            </w:r>
          </w:p>
        </w:tc>
        <w:tc>
          <w:tcPr>
            <w:tcW w:type="dxa" w:w="1900"/>
            <w:shd w:fill="FCEBEB" w:color="auto" w:val="clear"/>
            <w:tcMar>
              <w:top w:type="dxa" w:w="60"/>
              <w:left w:type="dxa" w:w="100"/>
              <w:bottom w:type="dxa" w:w="60"/>
              <w:right w:type="dxa" w:w="100"/>
            </w:tcMar>
          </w:tcPr>
          <w:p>
            <w:r>
              <w:rPr>
                <w:b w:val="false"/>
                <w:bCs w:val="false"/>
                <w:sz w:val="18"/>
                <w:szCs w:val="18"/>
              </w:rPr>
              <w:t xml:space="preserve">44 mV</w:t>
            </w:r>
          </w:p>
        </w:tc>
        <w:tc>
          <w:tcPr>
            <w:tcW w:type="dxa" w:w="1300"/>
            <w:shd w:fill="FCEBEB" w:color="auto" w:val="clear"/>
            <w:tcMar>
              <w:top w:type="dxa" w:w="60"/>
              <w:left w:type="dxa" w:w="100"/>
              <w:bottom w:type="dxa" w:w="60"/>
              <w:right w:type="dxa" w:w="100"/>
            </w:tcMar>
          </w:tcPr>
          <w:p>
            <w:r>
              <w:rPr>
                <w:b w:val="false"/>
                <w:bCs w:val="false"/>
                <w:sz w:val="18"/>
                <w:szCs w:val="18"/>
              </w:rPr>
              <w:t xml:space="preserve">3,8 mΩ</w:t>
            </w:r>
          </w:p>
        </w:tc>
      </w:tr>
      <w:tr>
        <w:tc>
          <w:tcPr>
            <w:tcW w:type="dxa" w:w="1500"/>
            <w:tcMar>
              <w:top w:type="dxa" w:w="60"/>
              <w:left w:type="dxa" w:w="100"/>
              <w:bottom w:type="dxa" w:w="60"/>
              <w:right w:type="dxa" w:w="100"/>
            </w:tcMar>
          </w:tcPr>
          <w:p>
            <w:r>
              <w:rPr>
                <w:b w:val="false"/>
                <w:bCs w:val="false"/>
                <w:sz w:val="18"/>
                <w:szCs w:val="18"/>
              </w:rPr>
              <w:t xml:space="preserve">66 min</w:t>
            </w:r>
          </w:p>
        </w:tc>
        <w:tc>
          <w:tcPr>
            <w:tcW w:type="dxa" w:w="1700"/>
            <w:tcMar>
              <w:top w:type="dxa" w:w="60"/>
              <w:left w:type="dxa" w:w="100"/>
              <w:bottom w:type="dxa" w:w="60"/>
              <w:right w:type="dxa" w:w="100"/>
            </w:tcMar>
          </w:tcPr>
          <w:p>
            <w:r>
              <w:rPr>
                <w:b w:val="false"/>
                <w:bCs w:val="false"/>
                <w:sz w:val="18"/>
                <w:szCs w:val="18"/>
              </w:rPr>
              <w:t xml:space="preserve">11,11 A</w:t>
            </w:r>
          </w:p>
        </w:tc>
        <w:tc>
          <w:tcPr>
            <w:tcW w:type="dxa" w:w="1900"/>
            <w:tcMar>
              <w:top w:type="dxa" w:w="60"/>
              <w:left w:type="dxa" w:w="100"/>
              <w:bottom w:type="dxa" w:w="60"/>
              <w:right w:type="dxa" w:w="100"/>
            </w:tcMar>
          </w:tcPr>
          <w:p>
            <w:r>
              <w:rPr>
                <w:b w:val="false"/>
                <w:bCs w:val="false"/>
                <w:sz w:val="18"/>
                <w:szCs w:val="18"/>
              </w:rPr>
              <w:t xml:space="preserve">3,208 V</w:t>
            </w:r>
          </w:p>
        </w:tc>
        <w:tc>
          <w:tcPr>
            <w:tcW w:type="dxa" w:w="1900"/>
            <w:shd w:fill="FCEBEB" w:color="auto" w:val="clear"/>
            <w:tcMar>
              <w:top w:type="dxa" w:w="60"/>
              <w:left w:type="dxa" w:w="100"/>
              <w:bottom w:type="dxa" w:w="60"/>
              <w:right w:type="dxa" w:w="100"/>
            </w:tcMar>
          </w:tcPr>
          <w:p>
            <w:r>
              <w:rPr>
                <w:b w:val="false"/>
                <w:bCs w:val="false"/>
                <w:sz w:val="18"/>
                <w:szCs w:val="18"/>
              </w:rPr>
              <w:t xml:space="preserve">46 mV</w:t>
            </w:r>
          </w:p>
        </w:tc>
        <w:tc>
          <w:tcPr>
            <w:tcW w:type="dxa" w:w="1300"/>
            <w:shd w:fill="FCEBEB" w:color="auto" w:val="clear"/>
            <w:tcMar>
              <w:top w:type="dxa" w:w="60"/>
              <w:left w:type="dxa" w:w="100"/>
              <w:bottom w:type="dxa" w:w="60"/>
              <w:right w:type="dxa" w:w="100"/>
            </w:tcMar>
          </w:tcPr>
          <w:p>
            <w:r>
              <w:rPr>
                <w:b w:val="false"/>
                <w:bCs w:val="false"/>
                <w:sz w:val="18"/>
                <w:szCs w:val="18"/>
              </w:rPr>
              <w:t xml:space="preserve">4,1 mΩ</w:t>
            </w:r>
          </w:p>
        </w:tc>
      </w:tr>
    </w:tbl>
    <w:p>
      <w:pPr>
        <w:spacing w:after="160" w:before="120"/>
        <w:jc w:val="center"/>
      </w:pPr>
      <w:r>
        <w:drawing>
          <wp:inline distT="0" distB="0" distL="0" distR="0">
            <wp:extent cx="5334000" cy="2667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334000" cy="2667000"/>
                    </a:xfrm>
                    <a:prstGeom prst="rect">
                      <a:avLst/>
                    </a:prstGeom>
                  </pic:spPr>
                </pic:pic>
              </a:graphicData>
            </a:graphic>
          </wp:inline>
        </w:drawing>
      </w:r>
    </w:p>
    <w:p>
      <w:pPr>
        <w:spacing w:after="200"/>
        <w:jc w:val="center"/>
      </w:pPr>
      <w:r>
        <w:rPr>
          <w:i/>
          <w:iCs/>
          <w:color w:val="5F5E5A"/>
          <w:sz w:val="17"/>
          <w:szCs w:val="17"/>
        </w:rPr>
        <w:t xml:space="preserve">Abb. 2: Der Spannungseinbruch von Zelle 13 wächst über die Dauer der Last kontinuierlich an, obwohl der Strom durch P4 gleichzeitig abnimmt.</w:t>
      </w:r>
    </w:p>
    <w:p>
      <w:pPr>
        <w:pStyle w:val="Heading2"/>
        <w:spacing w:after="100" w:before="200"/>
      </w:pPr>
      <w:r>
        <w:rPr>
          <w:b/>
          <w:bCs/>
          <w:color w:val="2E4A7B"/>
          <w:sz w:val="23"/>
          <w:szCs w:val="23"/>
        </w:rPr>
        <w:t xml:space="preserve">4.3 Bewertung des Ergebnisses</w:t>
      </w:r>
    </w:p>
    <w:p>
      <w:pPr>
        <w:spacing w:after="120"/>
      </w:pPr>
      <w:r>
        <w:rPr>
          <w:sz w:val="21"/>
          <w:szCs w:val="21"/>
        </w:rPr>
        <w:t xml:space="preserve">Der Strom durch P4 sank im Testverlauf von 13,48 A auf 11,11 A (−18 %), während der Spannungsabfall an Zelle 13 von 12 mV auf 46 mV anstieg (+283 %). Bei einem rein ohmschen Widerstand wäre der Spannungsabfall bei sinkendem Strom kleiner geworden. Der beobachtete progressive Anstieg bei fallendem Strom ist mit einem rein ohmschen Effekt nicht erklärbar und entspricht dem Verhalten einer Zelle mit eingeschränktem Ionentransport (Diffusionslimitierung) — einem etablierten Alterungsmerkmal von Lithium-Eisenphosphat-Zellen.</w:t>
      </w:r>
    </w:p>
    <w:p>
      <w:pPr>
        <w:spacing w:after="120"/>
      </w:pPr>
      <w:r>
        <w:rPr>
          <w:sz w:val="21"/>
          <w:szCs w:val="21"/>
        </w:rPr>
        <w:t xml:space="preserve">Auch der Temperaturverlauf stützt den Befund: Die Zelltemperaturen blieben während des Tests nahezu konstant. Da eine Erwärmung den Innenwiderstand senken würde, kann der wachsende Spannungsabfall nicht thermisch erklärt werden.</w:t>
      </w:r>
    </w:p>
    <w:p>
      <w:pPr>
        <w:pStyle w:val="Heading2"/>
        <w:spacing w:after="100" w:before="200"/>
      </w:pPr>
      <w:r>
        <w:rPr>
          <w:b/>
          <w:bCs/>
          <w:color w:val="2E4A7B"/>
          <w:sz w:val="23"/>
          <w:szCs w:val="23"/>
        </w:rPr>
        <w:t xml:space="preserve">4.4 Erholungsverhalten nach Lastende</w:t>
      </w:r>
    </w:p>
    <w:p>
      <w:pPr>
        <w:spacing w:after="120"/>
      </w:pPr>
      <w:r>
        <w:rPr>
          <w:sz w:val="21"/>
          <w:szCs w:val="21"/>
        </w:rPr>
        <w:t xml:space="preserve">Nach Beendigung der Last erholte sich Zelle 13 ausgesprochen langsam. Der Spannungsabstand zu den übrigen Zellen in P4 fiel von 46 mV (unter Last) über 35 mV (1 min), 22 mV (10 min) und 21 mV (18 min) auf 17 mV nach rund 50 Minuten und 15 mV nach 90 Minuten Ruhe.</w:t>
      </w:r>
    </w:p>
    <w:p>
      <w:pPr>
        <w:spacing w:after="120"/>
      </w:pPr>
      <w:r>
        <w:rPr>
          <w:sz w:val="21"/>
          <w:szCs w:val="21"/>
        </w:rPr>
        <w:t xml:space="preserve">Nach anschließendem Wiederaufladen in den mittleren Ladezustandsbereich war die Spreizung jedoch vollständig zurückgegangen: Im stromlosen Zustand bei 61–63 % SOC wies P4 wieder lediglich 2 mV auf — identisch mit dem Zustand vor Testbeginn und mit den übrigen Modulen. Ein bleibendes Kapazitätsdefizit der Zelle liegt somit nicht vor; die Zelle erholt sich vollständig, wenn auch mit deutlich verzögerter Zeitkonstante.</w:t>
      </w:r>
    </w:p>
    <w:p>
      <w:pPr>
        <w:spacing w:after="120"/>
      </w:pPr>
      <w:r>
        <w:rPr>
          <w:sz w:val="21"/>
          <w:szCs w:val="21"/>
        </w:rPr>
        <w:t xml:space="preserve">Der Befund ist damit auf den erhöhten Innenwiderstand und die Diffusionslimitierung beschränkt. Das ist für die Bewertung relevant und wird hier ausdrücklich festgehalten.</w:t>
      </w:r>
    </w:p>
    <w:p>
      <w:pPr>
        <w:pStyle w:val="Heading1"/>
        <w:spacing w:after="120" w:before="260"/>
      </w:pPr>
      <w:r>
        <w:rPr>
          <w:b/>
          <w:bCs/>
          <w:color w:val="2E4A7B"/>
          <w:sz w:val="26"/>
          <w:szCs w:val="26"/>
        </w:rPr>
        <w:t xml:space="preserve">5. Systembedingte Verschärfung durch den passiven Balancer</w:t>
      </w:r>
    </w:p>
    <w:p>
      <w:pPr>
        <w:spacing w:after="120"/>
      </w:pPr>
      <w:r>
        <w:rPr>
          <w:sz w:val="21"/>
          <w:szCs w:val="21"/>
        </w:rPr>
        <w:t xml:space="preserve">Die Messreihen zeigen ein durchgängiges, stromrichtungsabhängiges Verhalten von Zelle 13:</w:t>
      </w:r>
    </w:p>
    <w:tbl>
      <w:tblPr>
        <w:tblW w:type="dxa" w:w="8300"/>
        <w:tblBorders>
          <w:top w:val="single" w:color="auto" w:sz="4"/>
          <w:left w:val="single" w:color="auto" w:sz="4"/>
          <w:bottom w:val="single" w:color="auto" w:sz="4"/>
          <w:right w:val="single" w:color="auto" w:sz="4"/>
          <w:insideH w:val="single" w:color="auto" w:sz="4"/>
          <w:insideV w:val="single" w:color="auto" w:sz="4"/>
        </w:tblBorders>
      </w:tblPr>
      <w:tblGrid>
        <w:gridCol w:w="2500"/>
        <w:gridCol w:w="2200"/>
        <w:gridCol w:w="2200"/>
        <w:gridCol w:w="1400"/>
      </w:tblGrid>
      <w:tr>
        <w:tc>
          <w:tcPr>
            <w:tcW w:type="dxa" w:w="2500"/>
            <w:shd w:fill="F1EFE8" w:color="auto" w:val="clear"/>
            <w:tcMar>
              <w:top w:type="dxa" w:w="60"/>
              <w:left w:type="dxa" w:w="100"/>
              <w:bottom w:type="dxa" w:w="60"/>
              <w:right w:type="dxa" w:w="100"/>
            </w:tcMar>
          </w:tcPr>
          <w:p>
            <w:r>
              <w:rPr>
                <w:b/>
                <w:bCs/>
                <w:sz w:val="18"/>
                <w:szCs w:val="18"/>
              </w:rPr>
              <w:t xml:space="preserve">Betriebszustand</w:t>
            </w:r>
          </w:p>
        </w:tc>
        <w:tc>
          <w:tcPr>
            <w:tcW w:type="dxa" w:w="2200"/>
            <w:shd w:fill="F1EFE8" w:color="auto" w:val="clear"/>
            <w:tcMar>
              <w:top w:type="dxa" w:w="60"/>
              <w:left w:type="dxa" w:w="100"/>
              <w:bottom w:type="dxa" w:w="60"/>
              <w:right w:type="dxa" w:w="100"/>
            </w:tcMar>
          </w:tcPr>
          <w:p>
            <w:r>
              <w:rPr>
                <w:b/>
                <w:bCs/>
                <w:sz w:val="18"/>
                <w:szCs w:val="18"/>
              </w:rPr>
              <w:t xml:space="preserve">Zelle 13</w:t>
            </w:r>
          </w:p>
        </w:tc>
        <w:tc>
          <w:tcPr>
            <w:tcW w:type="dxa" w:w="2200"/>
            <w:shd w:fill="F1EFE8" w:color="auto" w:val="clear"/>
            <w:tcMar>
              <w:top w:type="dxa" w:w="60"/>
              <w:left w:type="dxa" w:w="100"/>
              <w:bottom w:type="dxa" w:w="60"/>
              <w:right w:type="dxa" w:w="100"/>
            </w:tcMar>
          </w:tcPr>
          <w:p>
            <w:r>
              <w:rPr>
                <w:b/>
                <w:bCs/>
                <w:sz w:val="18"/>
                <w:szCs w:val="18"/>
              </w:rPr>
              <w:t xml:space="preserve">Position in P4</w:t>
            </w:r>
          </w:p>
        </w:tc>
        <w:tc>
          <w:tcPr>
            <w:tcW w:type="dxa" w:w="1400"/>
            <w:shd w:fill="F1EFE8" w:color="auto" w:val="clear"/>
            <w:tcMar>
              <w:top w:type="dxa" w:w="60"/>
              <w:left w:type="dxa" w:w="100"/>
              <w:bottom w:type="dxa" w:w="60"/>
              <w:right w:type="dxa" w:w="100"/>
            </w:tcMar>
          </w:tcPr>
          <w:p>
            <w:r>
              <w:rPr>
                <w:b/>
                <w:bCs/>
                <w:sz w:val="18"/>
                <w:szCs w:val="18"/>
              </w:rPr>
              <w:t xml:space="preserve">P4 Imbalance</w:t>
            </w:r>
          </w:p>
        </w:tc>
      </w:tr>
      <w:tr>
        <w:tc>
          <w:tcPr>
            <w:tcW w:type="dxa" w:w="2500"/>
            <w:tcMar>
              <w:top w:type="dxa" w:w="60"/>
              <w:left w:type="dxa" w:w="100"/>
              <w:bottom w:type="dxa" w:w="60"/>
              <w:right w:type="dxa" w:w="100"/>
            </w:tcMar>
          </w:tcPr>
          <w:p>
            <w:r>
              <w:rPr>
                <w:b w:val="false"/>
                <w:bCs w:val="false"/>
                <w:sz w:val="18"/>
                <w:szCs w:val="18"/>
              </w:rPr>
              <w:t xml:space="preserve">Entladung (13 A)</w:t>
            </w:r>
          </w:p>
        </w:tc>
        <w:tc>
          <w:tcPr>
            <w:tcW w:type="dxa" w:w="2200"/>
            <w:tcMar>
              <w:top w:type="dxa" w:w="60"/>
              <w:left w:type="dxa" w:w="100"/>
              <w:bottom w:type="dxa" w:w="60"/>
              <w:right w:type="dxa" w:w="100"/>
            </w:tcMar>
          </w:tcPr>
          <w:p>
            <w:r>
              <w:rPr>
                <w:b w:val="false"/>
                <w:bCs w:val="false"/>
                <w:sz w:val="18"/>
                <w:szCs w:val="18"/>
              </w:rPr>
              <w:t xml:space="preserve">3,245 V</w:t>
            </w:r>
          </w:p>
        </w:tc>
        <w:tc>
          <w:tcPr>
            <w:tcW w:type="dxa" w:w="2200"/>
            <w:tcMar>
              <w:top w:type="dxa" w:w="60"/>
              <w:left w:type="dxa" w:w="100"/>
              <w:bottom w:type="dxa" w:w="60"/>
              <w:right w:type="dxa" w:w="100"/>
            </w:tcMar>
          </w:tcPr>
          <w:p>
            <w:r>
              <w:rPr>
                <w:b w:val="false"/>
                <w:bCs w:val="false"/>
                <w:sz w:val="18"/>
                <w:szCs w:val="18"/>
              </w:rPr>
              <w:t xml:space="preserve">niedrigste Zelle</w:t>
            </w:r>
          </w:p>
        </w:tc>
        <w:tc>
          <w:tcPr>
            <w:tcW w:type="dxa" w:w="1400"/>
            <w:tcMar>
              <w:top w:type="dxa" w:w="60"/>
              <w:left w:type="dxa" w:w="100"/>
              <w:bottom w:type="dxa" w:w="60"/>
              <w:right w:type="dxa" w:w="100"/>
            </w:tcMar>
          </w:tcPr>
          <w:p>
            <w:r>
              <w:rPr>
                <w:b w:val="false"/>
                <w:bCs w:val="false"/>
                <w:sz w:val="18"/>
                <w:szCs w:val="18"/>
              </w:rPr>
              <w:t xml:space="preserve">0,37 %</w:t>
            </w:r>
          </w:p>
        </w:tc>
      </w:tr>
      <w:tr>
        <w:tc>
          <w:tcPr>
            <w:tcW w:type="dxa" w:w="2500"/>
            <w:tcMar>
              <w:top w:type="dxa" w:w="60"/>
              <w:left w:type="dxa" w:w="100"/>
              <w:bottom w:type="dxa" w:w="60"/>
              <w:right w:type="dxa" w:w="100"/>
            </w:tcMar>
          </w:tcPr>
          <w:p>
            <w:r>
              <w:rPr>
                <w:b w:val="false"/>
                <w:bCs w:val="false"/>
                <w:sz w:val="18"/>
                <w:szCs w:val="18"/>
              </w:rPr>
              <w:t xml:space="preserve">Stromlos</w:t>
            </w:r>
          </w:p>
        </w:tc>
        <w:tc>
          <w:tcPr>
            <w:tcW w:type="dxa" w:w="2200"/>
            <w:tcMar>
              <w:top w:type="dxa" w:w="60"/>
              <w:left w:type="dxa" w:w="100"/>
              <w:bottom w:type="dxa" w:w="60"/>
              <w:right w:type="dxa" w:w="100"/>
            </w:tcMar>
          </w:tcPr>
          <w:p>
            <w:r>
              <w:rPr>
                <w:b w:val="false"/>
                <w:bCs w:val="false"/>
                <w:sz w:val="18"/>
                <w:szCs w:val="18"/>
              </w:rPr>
              <w:t xml:space="preserve">3,321 V</w:t>
            </w:r>
          </w:p>
        </w:tc>
        <w:tc>
          <w:tcPr>
            <w:tcW w:type="dxa" w:w="2200"/>
            <w:tcMar>
              <w:top w:type="dxa" w:w="60"/>
              <w:left w:type="dxa" w:w="100"/>
              <w:bottom w:type="dxa" w:w="60"/>
              <w:right w:type="dxa" w:w="100"/>
            </w:tcMar>
          </w:tcPr>
          <w:p>
            <w:r>
              <w:rPr>
                <w:b w:val="false"/>
                <w:bCs w:val="false"/>
                <w:sz w:val="18"/>
                <w:szCs w:val="18"/>
              </w:rPr>
              <w:t xml:space="preserve">gleichauf mit allen</w:t>
            </w:r>
          </w:p>
        </w:tc>
        <w:tc>
          <w:tcPr>
            <w:tcW w:type="dxa" w:w="1400"/>
            <w:tcMar>
              <w:top w:type="dxa" w:w="60"/>
              <w:left w:type="dxa" w:w="100"/>
              <w:bottom w:type="dxa" w:w="60"/>
              <w:right w:type="dxa" w:w="100"/>
            </w:tcMar>
          </w:tcPr>
          <w:p>
            <w:r>
              <w:rPr>
                <w:b w:val="false"/>
                <w:bCs w:val="false"/>
                <w:sz w:val="18"/>
                <w:szCs w:val="18"/>
              </w:rPr>
              <w:t xml:space="preserve">0,03 %</w:t>
            </w:r>
          </w:p>
        </w:tc>
      </w:tr>
      <w:tr>
        <w:tc>
          <w:tcPr>
            <w:tcW w:type="dxa" w:w="2500"/>
            <w:tcMar>
              <w:top w:type="dxa" w:w="60"/>
              <w:left w:type="dxa" w:w="100"/>
              <w:bottom w:type="dxa" w:w="60"/>
              <w:right w:type="dxa" w:w="100"/>
            </w:tcMar>
          </w:tcPr>
          <w:p>
            <w:r>
              <w:rPr>
                <w:b w:val="false"/>
                <w:bCs w:val="false"/>
                <w:sz w:val="18"/>
                <w:szCs w:val="18"/>
              </w:rPr>
              <w:t xml:space="preserve">Ladung (9–21 A)</w:t>
            </w:r>
          </w:p>
        </w:tc>
        <w:tc>
          <w:tcPr>
            <w:tcW w:type="dxa" w:w="2200"/>
            <w:tcMar>
              <w:top w:type="dxa" w:w="60"/>
              <w:left w:type="dxa" w:w="100"/>
              <w:bottom w:type="dxa" w:w="60"/>
              <w:right w:type="dxa" w:w="100"/>
            </w:tcMar>
          </w:tcPr>
          <w:p>
            <w:r>
              <w:rPr>
                <w:b w:val="false"/>
                <w:bCs w:val="false"/>
                <w:sz w:val="18"/>
                <w:szCs w:val="18"/>
              </w:rPr>
              <w:t xml:space="preserve">3,349 V</w:t>
            </w:r>
          </w:p>
        </w:tc>
        <w:tc>
          <w:tcPr>
            <w:tcW w:type="dxa" w:w="2200"/>
            <w:tcMar>
              <w:top w:type="dxa" w:w="60"/>
              <w:left w:type="dxa" w:w="100"/>
              <w:bottom w:type="dxa" w:w="60"/>
              <w:right w:type="dxa" w:w="100"/>
            </w:tcMar>
          </w:tcPr>
          <w:p>
            <w:r>
              <w:rPr>
                <w:b w:val="false"/>
                <w:bCs w:val="false"/>
                <w:sz w:val="18"/>
                <w:szCs w:val="18"/>
              </w:rPr>
              <w:t xml:space="preserve">höchste Zelle</w:t>
            </w:r>
          </w:p>
        </w:tc>
        <w:tc>
          <w:tcPr>
            <w:tcW w:type="dxa" w:w="1400"/>
            <w:tcMar>
              <w:top w:type="dxa" w:w="60"/>
              <w:left w:type="dxa" w:w="100"/>
              <w:bottom w:type="dxa" w:w="60"/>
              <w:right w:type="dxa" w:w="100"/>
            </w:tcMar>
          </w:tcPr>
          <w:p>
            <w:r>
              <w:rPr>
                <w:b w:val="false"/>
                <w:bCs w:val="false"/>
                <w:sz w:val="18"/>
                <w:szCs w:val="18"/>
              </w:rPr>
              <w:t xml:space="preserve">0,12–0,18 %</w:t>
            </w:r>
          </w:p>
        </w:tc>
      </w:tr>
    </w:tbl>
    <w:p>
      <w:pPr>
        <w:spacing w:before="140"/>
      </w:pPr>
    </w:p>
    <w:p>
      <w:pPr>
        <w:spacing w:after="120"/>
      </w:pPr>
      <w:r>
        <w:rPr>
          <w:sz w:val="21"/>
          <w:szCs w:val="21"/>
        </w:rPr>
        <w:t xml:space="preserve">Unter Ladestrom wird die Spannung von Zelle 13 durch ihren erhöhten Innenwiderstand künstlich angehoben (U = I · R). Sie erreicht dadurch die Balancing-Schwelle des BMS als erste Zelle des Moduls — obwohl sie in Wahrheit den niedrigsten Ladezustand aufweist. Der passive Balancer leitet daraufhin an genau dieser Zelle Ladung ab und entlädt sie zusätzlich.</w:t>
      </w:r>
    </w:p>
    <w:p>
      <w:pPr>
        <w:spacing w:after="120"/>
      </w:pPr>
      <w:r>
        <w:rPr>
          <w:sz w:val="21"/>
          <w:szCs w:val="21"/>
        </w:rPr>
        <w:t xml:space="preserve">Dieser Mechanismus ist selbstverstärkend: Erhöhter Innenwiderstand führt zu einer scheinbar zu hohen Spannung beim Laden, der Balancer entlädt die Zelle, sie wird real leerer, bricht unter Last noch stärker ein — und der Effekt vergrößert sich mit jedem Ladezyklus. Er erklärt die über elf Monate beobachtete, sich beschleunigende Verschlechterung des Moduls P4 schlüssig.</w:t>
      </w:r>
    </w:p>
    <w:p>
      <w:pPr>
        <w:spacing w:after="120"/>
      </w:pPr>
      <w:r>
        <w:rPr>
          <w:sz w:val="21"/>
          <w:szCs w:val="21"/>
        </w:rPr>
        <w:t xml:space="preserve">In der Absorptionsphase bestätigt sich dies unmittelbar: Zelle 13 wird dort als niedrigste Zelle des Moduls gemessen (3,485 V bei einem Modulmittel von rund 3,50 V) — sie wurde vom Balancer bereits abgesenkt.</w:t>
      </w:r>
    </w:p>
    <w:p>
      <w:pPr>
        <w:pStyle w:val="Heading1"/>
        <w:spacing w:after="120" w:before="260"/>
      </w:pPr>
      <w:r>
        <w:rPr>
          <w:b/>
          <w:bCs/>
          <w:color w:val="2E4A7B"/>
          <w:sz w:val="26"/>
          <w:szCs w:val="26"/>
        </w:rPr>
        <w:t xml:space="preserve">6. Folgen für die übrigen Module</w:t>
      </w:r>
    </w:p>
    <w:p>
      <w:pPr>
        <w:spacing w:after="120"/>
      </w:pPr>
      <w:r>
        <w:rPr>
          <w:sz w:val="21"/>
          <w:szCs w:val="21"/>
        </w:rPr>
        <w:t xml:space="preserve">Da P4 in beide Stromrichtungen systematisch weniger Strom führt, wird der fehlende Anteil zwangsläufig von den drei übrigen Modulen übernommen. Diese werden dadurch stärker beansprucht, als es bei gleichmäßiger Lastverteilung der Fall wäre.</w:t>
      </w:r>
    </w:p>
    <w:p>
      <w:pPr>
        <w:spacing w:after="120"/>
      </w:pPr>
      <w:r>
        <w:rPr>
          <w:sz w:val="21"/>
          <w:szCs w:val="21"/>
        </w:rPr>
        <w:t xml:space="preserve">Im Zeitraum 11.–13.07.2026 betrug der Gesamtdurchsatz (Laden und Entladen zusammen):</w:t>
      </w:r>
    </w:p>
    <w:tbl>
      <w:tblPr>
        <w:tblW w:type="dxa" w:w="8300"/>
        <w:tblBorders>
          <w:top w:val="single" w:color="auto" w:sz="4"/>
          <w:left w:val="single" w:color="auto" w:sz="4"/>
          <w:bottom w:val="single" w:color="auto" w:sz="4"/>
          <w:right w:val="single" w:color="auto" w:sz="4"/>
          <w:insideH w:val="single" w:color="auto" w:sz="4"/>
          <w:insideV w:val="single" w:color="auto" w:sz="4"/>
        </w:tblBorders>
      </w:tblPr>
      <w:tblGrid>
        <w:gridCol w:w="2000"/>
        <w:gridCol w:w="2100"/>
        <w:gridCol w:w="2100"/>
        <w:gridCol w:w="2100"/>
      </w:tblGrid>
      <w:tr>
        <w:tc>
          <w:tcPr>
            <w:tcW w:type="dxa" w:w="2000"/>
            <w:shd w:fill="F1EFE8" w:color="auto" w:val="clear"/>
            <w:tcMar>
              <w:top w:type="dxa" w:w="60"/>
              <w:left w:type="dxa" w:w="100"/>
              <w:bottom w:type="dxa" w:w="60"/>
              <w:right w:type="dxa" w:w="100"/>
            </w:tcMar>
          </w:tcPr>
          <w:p>
            <w:r>
              <w:rPr>
                <w:b/>
                <w:bCs/>
                <w:sz w:val="18"/>
                <w:szCs w:val="18"/>
              </w:rPr>
              <w:t xml:space="preserve">Modul</w:t>
            </w:r>
          </w:p>
        </w:tc>
        <w:tc>
          <w:tcPr>
            <w:tcW w:type="dxa" w:w="2100"/>
            <w:shd w:fill="F1EFE8" w:color="auto" w:val="clear"/>
            <w:tcMar>
              <w:top w:type="dxa" w:w="60"/>
              <w:left w:type="dxa" w:w="100"/>
              <w:bottom w:type="dxa" w:w="60"/>
              <w:right w:type="dxa" w:w="100"/>
            </w:tcMar>
          </w:tcPr>
          <w:p>
            <w:r>
              <w:rPr>
                <w:b/>
                <w:bCs/>
                <w:sz w:val="18"/>
                <w:szCs w:val="18"/>
              </w:rPr>
              <w:t xml:space="preserve">Durchsatz</w:t>
            </w:r>
          </w:p>
        </w:tc>
        <w:tc>
          <w:tcPr>
            <w:tcW w:type="dxa" w:w="2100"/>
            <w:shd w:fill="F1EFE8" w:color="auto" w:val="clear"/>
            <w:tcMar>
              <w:top w:type="dxa" w:w="60"/>
              <w:left w:type="dxa" w:w="100"/>
              <w:bottom w:type="dxa" w:w="60"/>
              <w:right w:type="dxa" w:w="100"/>
            </w:tcMar>
          </w:tcPr>
          <w:p>
            <w:r>
              <w:rPr>
                <w:b/>
                <w:bCs/>
                <w:sz w:val="18"/>
                <w:szCs w:val="18"/>
              </w:rPr>
              <w:t xml:space="preserve">Anteil am Idealwert</w:t>
            </w:r>
          </w:p>
        </w:tc>
        <w:tc>
          <w:tcPr>
            <w:tcW w:type="dxa" w:w="2100"/>
            <w:shd w:fill="F1EFE8" w:color="auto" w:val="clear"/>
            <w:tcMar>
              <w:top w:type="dxa" w:w="60"/>
              <w:left w:type="dxa" w:w="100"/>
              <w:bottom w:type="dxa" w:w="60"/>
              <w:right w:type="dxa" w:w="100"/>
            </w:tcMar>
          </w:tcPr>
          <w:p>
            <w:r>
              <w:rPr>
                <w:b/>
                <w:bCs/>
                <w:sz w:val="18"/>
                <w:szCs w:val="18"/>
              </w:rPr>
              <w:t xml:space="preserve">Abweichung</w:t>
            </w:r>
          </w:p>
        </w:tc>
      </w:tr>
      <w:tr>
        <w:tc>
          <w:tcPr>
            <w:tcW w:type="dxa" w:w="2000"/>
            <w:tcMar>
              <w:top w:type="dxa" w:w="60"/>
              <w:left w:type="dxa" w:w="100"/>
              <w:bottom w:type="dxa" w:w="60"/>
              <w:right w:type="dxa" w:w="100"/>
            </w:tcMar>
          </w:tcPr>
          <w:p>
            <w:r>
              <w:rPr>
                <w:b w:val="false"/>
                <w:bCs w:val="false"/>
                <w:sz w:val="18"/>
                <w:szCs w:val="18"/>
              </w:rPr>
              <w:t xml:space="preserve">P1</w:t>
            </w:r>
          </w:p>
        </w:tc>
        <w:tc>
          <w:tcPr>
            <w:tcW w:type="dxa" w:w="2100"/>
            <w:tcMar>
              <w:top w:type="dxa" w:w="60"/>
              <w:left w:type="dxa" w:w="100"/>
              <w:bottom w:type="dxa" w:w="60"/>
              <w:right w:type="dxa" w:w="100"/>
            </w:tcMar>
          </w:tcPr>
          <w:p>
            <w:r>
              <w:rPr>
                <w:b w:val="false"/>
                <w:bCs w:val="false"/>
                <w:sz w:val="18"/>
                <w:szCs w:val="18"/>
              </w:rPr>
              <w:t xml:space="preserve">194,7 Ah</w:t>
            </w:r>
          </w:p>
        </w:tc>
        <w:tc>
          <w:tcPr>
            <w:tcW w:type="dxa" w:w="2100"/>
            <w:tcMar>
              <w:top w:type="dxa" w:w="60"/>
              <w:left w:type="dxa" w:w="100"/>
              <w:bottom w:type="dxa" w:w="60"/>
              <w:right w:type="dxa" w:w="100"/>
            </w:tcMar>
          </w:tcPr>
          <w:p>
            <w:r>
              <w:rPr>
                <w:b w:val="false"/>
                <w:bCs w:val="false"/>
                <w:sz w:val="18"/>
                <w:szCs w:val="18"/>
              </w:rPr>
              <w:t xml:space="preserve">101 %</w:t>
            </w:r>
          </w:p>
        </w:tc>
        <w:tc>
          <w:tcPr>
            <w:tcW w:type="dxa" w:w="2100"/>
            <w:tcMar>
              <w:top w:type="dxa" w:w="60"/>
              <w:left w:type="dxa" w:w="100"/>
              <w:bottom w:type="dxa" w:w="60"/>
              <w:right w:type="dxa" w:w="100"/>
            </w:tcMar>
          </w:tcPr>
          <w:p>
            <w:r>
              <w:rPr>
                <w:b w:val="false"/>
                <w:bCs w:val="false"/>
                <w:sz w:val="18"/>
                <w:szCs w:val="18"/>
              </w:rPr>
              <w:t xml:space="preserve">+1 %</w:t>
            </w:r>
          </w:p>
        </w:tc>
      </w:tr>
      <w:tr>
        <w:tc>
          <w:tcPr>
            <w:tcW w:type="dxa" w:w="2000"/>
            <w:tcMar>
              <w:top w:type="dxa" w:w="60"/>
              <w:left w:type="dxa" w:w="100"/>
              <w:bottom w:type="dxa" w:w="60"/>
              <w:right w:type="dxa" w:w="100"/>
            </w:tcMar>
          </w:tcPr>
          <w:p>
            <w:r>
              <w:rPr>
                <w:b w:val="false"/>
                <w:bCs w:val="false"/>
                <w:sz w:val="18"/>
                <w:szCs w:val="18"/>
              </w:rPr>
              <w:t xml:space="preserve">P2</w:t>
            </w:r>
          </w:p>
        </w:tc>
        <w:tc>
          <w:tcPr>
            <w:tcW w:type="dxa" w:w="2100"/>
            <w:tcMar>
              <w:top w:type="dxa" w:w="60"/>
              <w:left w:type="dxa" w:w="100"/>
              <w:bottom w:type="dxa" w:w="60"/>
              <w:right w:type="dxa" w:w="100"/>
            </w:tcMar>
          </w:tcPr>
          <w:p>
            <w:r>
              <w:rPr>
                <w:b w:val="false"/>
                <w:bCs w:val="false"/>
                <w:sz w:val="18"/>
                <w:szCs w:val="18"/>
              </w:rPr>
              <w:t xml:space="preserve">202,2 Ah</w:t>
            </w:r>
          </w:p>
        </w:tc>
        <w:tc>
          <w:tcPr>
            <w:tcW w:type="dxa" w:w="2100"/>
            <w:tcMar>
              <w:top w:type="dxa" w:w="60"/>
              <w:left w:type="dxa" w:w="100"/>
              <w:bottom w:type="dxa" w:w="60"/>
              <w:right w:type="dxa" w:w="100"/>
            </w:tcMar>
          </w:tcPr>
          <w:p>
            <w:r>
              <w:rPr>
                <w:b w:val="false"/>
                <w:bCs w:val="false"/>
                <w:sz w:val="18"/>
                <w:szCs w:val="18"/>
              </w:rPr>
              <w:t xml:space="preserve">105 %</w:t>
            </w:r>
          </w:p>
        </w:tc>
        <w:tc>
          <w:tcPr>
            <w:tcW w:type="dxa" w:w="2100"/>
            <w:tcMar>
              <w:top w:type="dxa" w:w="60"/>
              <w:left w:type="dxa" w:w="100"/>
              <w:bottom w:type="dxa" w:w="60"/>
              <w:right w:type="dxa" w:w="100"/>
            </w:tcMar>
          </w:tcPr>
          <w:p>
            <w:r>
              <w:rPr>
                <w:b w:val="false"/>
                <w:bCs w:val="false"/>
                <w:sz w:val="18"/>
                <w:szCs w:val="18"/>
              </w:rPr>
              <w:t xml:space="preserve">+5 %</w:t>
            </w:r>
          </w:p>
        </w:tc>
      </w:tr>
      <w:tr>
        <w:tc>
          <w:tcPr>
            <w:tcW w:type="dxa" w:w="2000"/>
            <w:tcMar>
              <w:top w:type="dxa" w:w="60"/>
              <w:left w:type="dxa" w:w="100"/>
              <w:bottom w:type="dxa" w:w="60"/>
              <w:right w:type="dxa" w:w="100"/>
            </w:tcMar>
          </w:tcPr>
          <w:p>
            <w:r>
              <w:rPr>
                <w:b w:val="false"/>
                <w:bCs w:val="false"/>
                <w:sz w:val="18"/>
                <w:szCs w:val="18"/>
              </w:rPr>
              <w:t xml:space="preserve">P3</w:t>
            </w:r>
          </w:p>
        </w:tc>
        <w:tc>
          <w:tcPr>
            <w:tcW w:type="dxa" w:w="2100"/>
            <w:tcMar>
              <w:top w:type="dxa" w:w="60"/>
              <w:left w:type="dxa" w:w="100"/>
              <w:bottom w:type="dxa" w:w="60"/>
              <w:right w:type="dxa" w:w="100"/>
            </w:tcMar>
          </w:tcPr>
          <w:p>
            <w:r>
              <w:rPr>
                <w:b w:val="false"/>
                <w:bCs w:val="false"/>
                <w:sz w:val="18"/>
                <w:szCs w:val="18"/>
              </w:rPr>
              <w:t xml:space="preserve">206,3 Ah</w:t>
            </w:r>
          </w:p>
        </w:tc>
        <w:tc>
          <w:tcPr>
            <w:tcW w:type="dxa" w:w="2100"/>
            <w:tcMar>
              <w:top w:type="dxa" w:w="60"/>
              <w:left w:type="dxa" w:w="100"/>
              <w:bottom w:type="dxa" w:w="60"/>
              <w:right w:type="dxa" w:w="100"/>
            </w:tcMar>
          </w:tcPr>
          <w:p>
            <w:r>
              <w:rPr>
                <w:b w:val="false"/>
                <w:bCs w:val="false"/>
                <w:sz w:val="18"/>
                <w:szCs w:val="18"/>
              </w:rPr>
              <w:t xml:space="preserve">108 %</w:t>
            </w:r>
          </w:p>
        </w:tc>
        <w:tc>
          <w:tcPr>
            <w:tcW w:type="dxa" w:w="2100"/>
            <w:tcMar>
              <w:top w:type="dxa" w:w="60"/>
              <w:left w:type="dxa" w:w="100"/>
              <w:bottom w:type="dxa" w:w="60"/>
              <w:right w:type="dxa" w:w="100"/>
            </w:tcMar>
          </w:tcPr>
          <w:p>
            <w:r>
              <w:rPr>
                <w:b w:val="false"/>
                <w:bCs w:val="false"/>
                <w:sz w:val="18"/>
                <w:szCs w:val="18"/>
              </w:rPr>
              <w:t xml:space="preserve">+8 %</w:t>
            </w:r>
          </w:p>
        </w:tc>
      </w:tr>
      <w:tr>
        <w:tc>
          <w:tcPr>
            <w:tcW w:type="dxa" w:w="2000"/>
            <w:tcMar>
              <w:top w:type="dxa" w:w="60"/>
              <w:left w:type="dxa" w:w="100"/>
              <w:bottom w:type="dxa" w:w="60"/>
              <w:right w:type="dxa" w:w="100"/>
            </w:tcMar>
          </w:tcPr>
          <w:p>
            <w:r>
              <w:rPr>
                <w:b w:val="false"/>
                <w:bCs w:val="false"/>
                <w:sz w:val="18"/>
                <w:szCs w:val="18"/>
              </w:rPr>
              <w:t xml:space="preserve">P4</w:t>
            </w:r>
          </w:p>
        </w:tc>
        <w:tc>
          <w:tcPr>
            <w:tcW w:type="dxa" w:w="2100"/>
            <w:shd w:fill="FCEBEB" w:color="auto" w:val="clear"/>
            <w:tcMar>
              <w:top w:type="dxa" w:w="60"/>
              <w:left w:type="dxa" w:w="100"/>
              <w:bottom w:type="dxa" w:w="60"/>
              <w:right w:type="dxa" w:w="100"/>
            </w:tcMar>
          </w:tcPr>
          <w:p>
            <w:r>
              <w:rPr>
                <w:b w:val="false"/>
                <w:bCs w:val="false"/>
                <w:sz w:val="18"/>
                <w:szCs w:val="18"/>
              </w:rPr>
              <w:t xml:space="preserve">164,3 Ah</w:t>
            </w:r>
          </w:p>
        </w:tc>
        <w:tc>
          <w:tcPr>
            <w:tcW w:type="dxa" w:w="2100"/>
            <w:shd w:fill="FCEBEB" w:color="auto" w:val="clear"/>
            <w:tcMar>
              <w:top w:type="dxa" w:w="60"/>
              <w:left w:type="dxa" w:w="100"/>
              <w:bottom w:type="dxa" w:w="60"/>
              <w:right w:type="dxa" w:w="100"/>
            </w:tcMar>
          </w:tcPr>
          <w:p>
            <w:r>
              <w:rPr>
                <w:b w:val="false"/>
                <w:bCs w:val="false"/>
                <w:sz w:val="18"/>
                <w:szCs w:val="18"/>
              </w:rPr>
              <w:t xml:space="preserve">86 %</w:t>
            </w:r>
          </w:p>
        </w:tc>
        <w:tc>
          <w:tcPr>
            <w:tcW w:type="dxa" w:w="2100"/>
            <w:shd w:fill="FCEBEB" w:color="auto" w:val="clear"/>
            <w:tcMar>
              <w:top w:type="dxa" w:w="60"/>
              <w:left w:type="dxa" w:w="100"/>
              <w:bottom w:type="dxa" w:w="60"/>
              <w:right w:type="dxa" w:w="100"/>
            </w:tcMar>
          </w:tcPr>
          <w:p>
            <w:r>
              <w:rPr>
                <w:b w:val="false"/>
                <w:bCs w:val="false"/>
                <w:sz w:val="18"/>
                <w:szCs w:val="18"/>
              </w:rPr>
              <w:t xml:space="preserve">−14 %</w:t>
            </w:r>
          </w:p>
        </w:tc>
      </w:tr>
    </w:tbl>
    <w:p>
      <w:pPr>
        <w:spacing w:before="140"/>
      </w:pPr>
    </w:p>
    <w:p>
      <w:pPr>
        <w:spacing w:after="120"/>
      </w:pPr>
      <w:r>
        <w:rPr>
          <w:sz w:val="21"/>
          <w:szCs w:val="21"/>
        </w:rPr>
        <w:t xml:space="preserve">Die Ströme bleiben dabei innerhalb der Spezifikation des US3000C; eine akute Überlastung liegt nicht vor. Die Mehrbeanspruchung führt jedoch zu einer beschleunigten Alterung der drei intakten Module. Der Schaden bleibt damit nicht auf P4 beschränkt.</w:t>
      </w:r>
    </w:p>
    <w:p>
      <w:pPr>
        <w:spacing w:after="120"/>
      </w:pPr>
      <w:r>
        <w:rPr>
          <w:sz w:val="21"/>
          <w:szCs w:val="21"/>
        </w:rPr>
        <w:t xml:space="preserve">Ein möglicher Hinweis darauf wurde geprüft: Nach dem einstündigen Dauerlasttest zeigten auch P2 und P3 im stromlosen Zustand eine kurzzeitig erhöhte Zellspreizung (rund 9 mV gegenüber sonst 1–3 mV). Diese ging jedoch nach dem Wiederaufladen vollständig auf 1 mV zurück. Es handelte sich um eine vorübergehende Nachwirkung der Belastung, nicht um einen beginnenden Schaden. P2 und P3 sind unauffällig.</w:t>
      </w:r>
    </w:p>
    <w:p>
      <w:pPr>
        <w:pStyle w:val="Heading1"/>
        <w:spacing w:after="120" w:before="260"/>
      </w:pPr>
      <w:r>
        <w:rPr>
          <w:b/>
          <w:bCs/>
          <w:color w:val="2E4A7B"/>
          <w:sz w:val="26"/>
          <w:szCs w:val="26"/>
        </w:rPr>
        <w:t xml:space="preserve">7. Ausschlüsse</w:t>
      </w:r>
    </w:p>
    <w:p>
      <w:pPr>
        <w:pStyle w:val="ListParagraph"/>
        <w:numPr>
          <w:ilvl w:val="0"/>
          <w:numId w:val="1"/>
        </w:numPr>
        <w:spacing w:after="60"/>
      </w:pPr>
      <w:r>
        <w:rPr>
          <w:sz w:val="21"/>
          <w:szCs w:val="21"/>
        </w:rPr>
        <w:t xml:space="preserve">Verkabelung/Anschluss: Ein erhöhter Übergangswiderstand am Leistungsanschluss würde unter Last lokale Verlustwärme erzeugen. Eine lastkorrelierte Erwärmung von P4 konnte über die gesamte Datenreihe — auch unter Berücksichtigung thermischer Verzögerung und anhaltender Hochlastphasen — nicht nachgewiesen werden.</w:t>
      </w:r>
    </w:p>
    <w:p>
      <w:pPr>
        <w:pStyle w:val="ListParagraph"/>
        <w:numPr>
          <w:ilvl w:val="0"/>
          <w:numId w:val="1"/>
        </w:numPr>
        <w:spacing w:after="60"/>
      </w:pPr>
      <w:r>
        <w:rPr>
          <w:sz w:val="21"/>
          <w:szCs w:val="21"/>
        </w:rPr>
        <w:t xml:space="preserve">Ladezustands-Versatz als Ursache: Der Effekt tritt auch bei identischem Ladezustand und im flachen Kennlinienbereich auf, in dem ladezustandsbedingte Spannungsunterschiede vernachlässigbar sind.</w:t>
      </w:r>
    </w:p>
    <w:p>
      <w:pPr>
        <w:pStyle w:val="ListParagraph"/>
        <w:numPr>
          <w:ilvl w:val="0"/>
          <w:numId w:val="1"/>
        </w:numPr>
        <w:spacing w:after="60"/>
      </w:pPr>
      <w:r>
        <w:rPr>
          <w:sz w:val="21"/>
          <w:szCs w:val="21"/>
        </w:rPr>
        <w:t xml:space="preserve">Messartefakt: Im ältesten Datensatz (Aug 2025) lag P4 unterhalb des Durchschnitts der übrigen Module. Ein systematischer Methodenfehler hätte dort bereits einen Überschuss zeigen müssen.</w:t>
      </w:r>
    </w:p>
    <w:p>
      <w:pPr>
        <w:pStyle w:val="ListParagraph"/>
        <w:numPr>
          <w:ilvl w:val="0"/>
          <w:numId w:val="1"/>
        </w:numPr>
        <w:spacing w:after="60"/>
      </w:pPr>
      <w:r>
        <w:rPr>
          <w:sz w:val="21"/>
          <w:szCs w:val="21"/>
        </w:rPr>
        <w:t xml:space="preserve">Übrige Module: P1, P2 und P3 verhalten sich in allen Betriebszuständen und über den gesamten Zeitraum unauffällig und untereinander konsistent.</w:t>
      </w:r>
    </w:p>
    <w:p>
      <w:pPr>
        <w:pStyle w:val="Heading1"/>
        <w:spacing w:after="120" w:before="260"/>
      </w:pPr>
      <w:r>
        <w:rPr>
          <w:b/>
          <w:bCs/>
          <w:color w:val="2E4A7B"/>
          <w:sz w:val="26"/>
          <w:szCs w:val="26"/>
        </w:rPr>
        <w:t xml:space="preserve">8. Bewertung und Antrag</w:t>
      </w:r>
    </w:p>
    <w:p>
      <w:pPr>
        <w:spacing w:after="120"/>
      </w:pPr>
      <w:r>
        <w:rPr>
          <w:sz w:val="21"/>
          <w:szCs w:val="21"/>
        </w:rPr>
        <w:t xml:space="preserve">Modul P4 weist eine fortschreitende Degradation auf, die auf mindestens eine Einzelzelle (Zelle 13, begleitet von Zellen 12 und 14) zurückzuführen ist. Die Zelle zeigt einen erhöhten und unter Last progressiv wachsenden Innenwiderstand mit Diffusionslimitierung sowie ein unvollständiges Erholungsverhalten. Der werkseitige passive Balancer verstärkt die Schädigung systembedingt, da er die betroffene Zelle aufgrund ihrer widerstandsbedingt überhöhten Ladespannung zusätzlich entlädt.</w:t>
      </w:r>
    </w:p>
    <w:p>
      <w:pPr>
        <w:spacing w:after="120"/>
      </w:pPr>
      <w:r>
        <w:rPr>
          <w:sz w:val="21"/>
          <w:szCs w:val="21"/>
        </w:rPr>
        <w:t xml:space="preserve">Das Modul war zu Beginn des dokumentierten Zeitraums (August 2025) unauffällig — sein effektiver Widerstand lag damals unterhalb des Durchschnitts der übrigen Module. Die Verschlechterung ist über elf Monate messtechnisch belegt und beschleunigt sich.</w:t>
      </w:r>
    </w:p>
    <w:p>
      <w:pPr>
        <w:spacing w:after="120"/>
      </w:pPr>
      <w:r>
        <w:rPr>
          <w:sz w:val="21"/>
          <w:szCs w:val="21"/>
        </w:rPr>
        <w:t xml:space="preserve">Ein Altersunterschied als Erklärung scheidet aus: P4 wurde am 19.03.2022 gefertigt, P2 und P3 am 25.04.2022, P1 am 31.05.2022 — eine Spanne von zehn Wochen. Die Zyklenzahlen von P2, P3 und P4 sind mit 475 bis 477 praktisch identisch. Entscheidend ist der Vergleich mit P1: identische Ausführung (gleiche Part Number), gleicher Fertigungszeitraum, gleicher Stack, gleiche Betriebsbedingungen — und über den gesamten Beobachtungszeitraum vollständig unauffällig.</w:t>
      </w:r>
    </w:p>
    <w:p>
      <w:pPr>
        <w:spacing w:after="120"/>
      </w:pPr>
      <w:r>
        <w:rPr>
          <w:sz w:val="21"/>
          <w:szCs w:val="21"/>
        </w:rPr>
        <w:t xml:space="preserve">Der beschriebene Verstärkungsmechanismus ist nicht auf die Betriebsweise des Anwenders zurückzuführen. Er entsteht ausschließlich aus dem Zusammenwirken des erhöhten Zellinnenwiderstands mit dem werkseitig implementierten passiven Balancing-Verfahren. Der Anwender hat keine Möglichkeit, dieses Verhalten zu beeinflussen oder abzuschalten. Die Verschärfung der Schädigung ist damit produktimmanent und kein Nutzungsfehler.</w:t>
      </w:r>
    </w:p>
    <w:p>
      <w:pPr>
        <w:spacing w:after="120"/>
      </w:pPr>
      <w:r>
        <w:rPr>
          <w:sz w:val="21"/>
          <w:szCs w:val="21"/>
        </w:rPr>
        <w:t xml:space="preserve">Der Vollständigkeit halber: Der Speicher ist derzeit funktionsfähig. Es treten keine Fehler oder Schutzabschaltungen auf, und da der Stack im Regelbetrieb nicht bis in den unteren Ladezustandsbereich entladen wird, ist der Kapazitätsverlust des Moduls P4 im Alltag bislang nicht spürbar. Der Antrag stützt sich nicht auf einen bereits eingetretenen Funktionsausfall, sondern auf die messtechnisch belegte, sich beschleunigende Degradation eines Moduls, das die zugesagte Lebensdauer absehbar nicht erreichen wird — bei nur 475 Ladezyklen und unauffälligem Verhalten der drei baugleichen Module unter identischen Bedingungen.</w:t>
      </w:r>
    </w:p>
    <w:p>
      <w:pPr>
        <w:spacing w:after="120"/>
      </w:pPr>
      <w:r>
        <w:rPr>
          <w:b/>
          <w:bCs/>
          <w:sz w:val="21"/>
          <w:szCs w:val="21"/>
        </w:rPr>
        <w:t xml:space="preserve">Es wird um Prüfung des Gewährleistungs-/Garantieanspruchs für das Modul P4 gebeten.</w:t>
      </w:r>
    </w:p>
    <w:p>
      <w:pPr>
        <w:pStyle w:val="Heading1"/>
        <w:spacing w:after="120" w:before="260"/>
      </w:pPr>
      <w:r>
        <w:rPr>
          <w:b/>
          <w:bCs/>
          <w:color w:val="2E4A7B"/>
          <w:sz w:val="26"/>
          <w:szCs w:val="26"/>
        </w:rPr>
        <w:t xml:space="preserve">9. Angaben zum Modul</w:t>
      </w:r>
    </w:p>
    <w:tbl>
      <w:tblPr>
        <w:tblW w:type="dxa" w:w="8300"/>
        <w:tblBorders>
          <w:top w:val="single" w:color="auto" w:sz="4"/>
          <w:left w:val="single" w:color="auto" w:sz="4"/>
          <w:bottom w:val="single" w:color="auto" w:sz="4"/>
          <w:right w:val="single" w:color="auto" w:sz="4"/>
          <w:insideH w:val="single" w:color="auto" w:sz="4"/>
          <w:insideV w:val="single" w:color="auto" w:sz="4"/>
        </w:tblBorders>
      </w:tblPr>
      <w:tblGrid>
        <w:gridCol w:w="3200"/>
        <w:gridCol w:w="5100"/>
      </w:tblGrid>
      <w:tr>
        <w:tc>
          <w:tcPr>
            <w:tcW w:type="dxa" w:w="3200"/>
            <w:shd w:fill="F1EFE8" w:color="auto" w:val="clear"/>
            <w:tcMar>
              <w:top w:type="dxa" w:w="60"/>
              <w:left w:type="dxa" w:w="100"/>
              <w:bottom w:type="dxa" w:w="60"/>
              <w:right w:type="dxa" w:w="100"/>
            </w:tcMar>
          </w:tcPr>
          <w:p>
            <w:r>
              <w:rPr>
                <w:b/>
                <w:bCs/>
                <w:sz w:val="18"/>
                <w:szCs w:val="18"/>
              </w:rPr>
              <w:t xml:space="preserve">Feld</w:t>
            </w:r>
          </w:p>
        </w:tc>
        <w:tc>
          <w:tcPr>
            <w:tcW w:type="dxa" w:w="5100"/>
            <w:shd w:fill="F1EFE8" w:color="auto" w:val="clear"/>
            <w:tcMar>
              <w:top w:type="dxa" w:w="60"/>
              <w:left w:type="dxa" w:w="100"/>
              <w:bottom w:type="dxa" w:w="60"/>
              <w:right w:type="dxa" w:w="100"/>
            </w:tcMar>
          </w:tcPr>
          <w:p>
            <w:r>
              <w:rPr>
                <w:b/>
                <w:bCs/>
                <w:sz w:val="18"/>
                <w:szCs w:val="18"/>
              </w:rPr>
              <w:t xml:space="preserve">Angabe</w:t>
            </w:r>
          </w:p>
        </w:tc>
      </w:tr>
      <w:tr>
        <w:tc>
          <w:tcPr>
            <w:tcW w:type="dxa" w:w="3200"/>
            <w:tcMar>
              <w:top w:type="dxa" w:w="60"/>
              <w:left w:type="dxa" w:w="100"/>
              <w:bottom w:type="dxa" w:w="60"/>
              <w:right w:type="dxa" w:w="100"/>
            </w:tcMar>
          </w:tcPr>
          <w:p>
            <w:r>
              <w:rPr>
                <w:b w:val="false"/>
                <w:bCs w:val="false"/>
                <w:sz w:val="18"/>
                <w:szCs w:val="18"/>
              </w:rPr>
              <w:t xml:space="preserve">Modell</w:t>
            </w:r>
          </w:p>
        </w:tc>
        <w:tc>
          <w:tcPr>
            <w:tcW w:type="dxa" w:w="5100"/>
            <w:tcMar>
              <w:top w:type="dxa" w:w="60"/>
              <w:left w:type="dxa" w:w="100"/>
              <w:bottom w:type="dxa" w:w="60"/>
              <w:right w:type="dxa" w:w="100"/>
            </w:tcMar>
          </w:tcPr>
          <w:p>
            <w:r>
              <w:rPr>
                <w:b w:val="false"/>
                <w:bCs w:val="false"/>
                <w:sz w:val="18"/>
                <w:szCs w:val="18"/>
              </w:rPr>
              <w:t xml:space="preserve">Pylontech US3000C</w:t>
            </w:r>
          </w:p>
        </w:tc>
      </w:tr>
      <w:tr>
        <w:tc>
          <w:tcPr>
            <w:tcW w:type="dxa" w:w="3200"/>
            <w:tcMar>
              <w:top w:type="dxa" w:w="60"/>
              <w:left w:type="dxa" w:w="100"/>
              <w:bottom w:type="dxa" w:w="60"/>
              <w:right w:type="dxa" w:w="100"/>
            </w:tcMar>
          </w:tcPr>
          <w:p>
            <w:r>
              <w:rPr>
                <w:b w:val="false"/>
                <w:bCs w:val="false"/>
                <w:sz w:val="18"/>
                <w:szCs w:val="18"/>
              </w:rPr>
              <w:t xml:space="preserve">Board / Firmware</w:t>
            </w:r>
          </w:p>
        </w:tc>
        <w:tc>
          <w:tcPr>
            <w:tcW w:type="dxa" w:w="5100"/>
            <w:tcMar>
              <w:top w:type="dxa" w:w="60"/>
              <w:left w:type="dxa" w:w="100"/>
              <w:bottom w:type="dxa" w:w="60"/>
              <w:right w:type="dxa" w:w="100"/>
            </w:tcMar>
          </w:tcPr>
          <w:p>
            <w:r>
              <w:rPr>
                <w:b w:val="false"/>
                <w:bCs w:val="false"/>
                <w:sz w:val="18"/>
                <w:szCs w:val="18"/>
              </w:rPr>
              <w:t xml:space="preserve">NF4.E2 / B69.13.0.0 / V1.4</w:t>
            </w:r>
          </w:p>
        </w:tc>
      </w:tr>
      <w:tr>
        <w:tc>
          <w:tcPr>
            <w:tcW w:type="dxa" w:w="3200"/>
            <w:tcMar>
              <w:top w:type="dxa" w:w="60"/>
              <w:left w:type="dxa" w:w="100"/>
              <w:bottom w:type="dxa" w:w="60"/>
              <w:right w:type="dxa" w:w="100"/>
            </w:tcMar>
          </w:tcPr>
          <w:p>
            <w:r>
              <w:rPr>
                <w:b w:val="false"/>
                <w:bCs w:val="false"/>
                <w:sz w:val="18"/>
                <w:szCs w:val="18"/>
              </w:rPr>
              <w:t xml:space="preserve">Part Number P4</w:t>
            </w:r>
          </w:p>
        </w:tc>
        <w:tc>
          <w:tcPr>
            <w:tcW w:type="dxa" w:w="5100"/>
            <w:tcMar>
              <w:top w:type="dxa" w:w="60"/>
              <w:left w:type="dxa" w:w="100"/>
              <w:bottom w:type="dxa" w:w="60"/>
              <w:right w:type="dxa" w:w="100"/>
            </w:tcMar>
          </w:tcPr>
          <w:p>
            <w:r>
              <w:rPr>
                <w:b w:val="false"/>
                <w:bCs w:val="false"/>
                <w:sz w:val="18"/>
                <w:szCs w:val="18"/>
              </w:rPr>
              <w:t xml:space="preserve">US3000CB4E2L0101</w:t>
            </w:r>
          </w:p>
        </w:tc>
      </w:tr>
      <w:tr>
        <w:tc>
          <w:tcPr>
            <w:tcW w:type="dxa" w:w="3200"/>
            <w:tcMar>
              <w:top w:type="dxa" w:w="60"/>
              <w:left w:type="dxa" w:w="100"/>
              <w:bottom w:type="dxa" w:w="60"/>
              <w:right w:type="dxa" w:w="100"/>
            </w:tcMar>
          </w:tcPr>
          <w:p>
            <w:r>
              <w:rPr>
                <w:b w:val="false"/>
                <w:bCs w:val="false"/>
                <w:sz w:val="18"/>
                <w:szCs w:val="18"/>
              </w:rPr>
              <w:t xml:space="preserve">Seriennummer / Barcode P4</w:t>
            </w:r>
          </w:p>
        </w:tc>
        <w:tc>
          <w:tcPr>
            <w:tcW w:type="dxa" w:w="5100"/>
            <w:tcMar>
              <w:top w:type="dxa" w:w="60"/>
              <w:left w:type="dxa" w:w="100"/>
              <w:bottom w:type="dxa" w:w="60"/>
              <w:right w:type="dxa" w:w="100"/>
            </w:tcMar>
          </w:tcPr>
          <w:p>
            <w:r>
              <w:rPr>
                <w:b w:val="false"/>
                <w:bCs w:val="false"/>
                <w:sz w:val="18"/>
                <w:szCs w:val="18"/>
              </w:rPr>
              <w:t xml:space="preserve">P223086C32230142</w:t>
            </w:r>
          </w:p>
        </w:tc>
      </w:tr>
      <w:tr>
        <w:tc>
          <w:tcPr>
            <w:tcW w:type="dxa" w:w="3200"/>
            <w:tcMar>
              <w:top w:type="dxa" w:w="60"/>
              <w:left w:type="dxa" w:w="100"/>
              <w:bottom w:type="dxa" w:w="60"/>
              <w:right w:type="dxa" w:w="100"/>
            </w:tcMar>
          </w:tcPr>
          <w:p>
            <w:r>
              <w:rPr>
                <w:b w:val="false"/>
                <w:bCs w:val="false"/>
                <w:sz w:val="18"/>
                <w:szCs w:val="18"/>
              </w:rPr>
              <w:t xml:space="preserve">Herstellungsdatum P4</w:t>
            </w:r>
          </w:p>
        </w:tc>
        <w:tc>
          <w:tcPr>
            <w:tcW w:type="dxa" w:w="5100"/>
            <w:tcMar>
              <w:top w:type="dxa" w:w="60"/>
              <w:left w:type="dxa" w:w="100"/>
              <w:bottom w:type="dxa" w:w="60"/>
              <w:right w:type="dxa" w:w="100"/>
            </w:tcMar>
          </w:tcPr>
          <w:p>
            <w:r>
              <w:rPr>
                <w:b w:val="false"/>
                <w:bCs w:val="false"/>
                <w:sz w:val="18"/>
                <w:szCs w:val="18"/>
              </w:rPr>
              <w:t xml:space="preserve">19.03.2022</w:t>
            </w:r>
          </w:p>
        </w:tc>
      </w:tr>
      <w:tr>
        <w:tc>
          <w:tcPr>
            <w:tcW w:type="dxa" w:w="3200"/>
            <w:tcMar>
              <w:top w:type="dxa" w:w="60"/>
              <w:left w:type="dxa" w:w="100"/>
              <w:bottom w:type="dxa" w:w="60"/>
              <w:right w:type="dxa" w:w="100"/>
            </w:tcMar>
          </w:tcPr>
          <w:p>
            <w:r>
              <w:rPr>
                <w:b w:val="false"/>
                <w:bCs w:val="false"/>
                <w:sz w:val="18"/>
                <w:szCs w:val="18"/>
              </w:rPr>
              <w:t xml:space="preserve">Kaufdatum / Rechnungsnr.</w:t>
            </w:r>
          </w:p>
        </w:tc>
        <w:tc>
          <w:tcPr>
            <w:tcW w:type="dxa" w:w="5100"/>
            <w:tcMar>
              <w:top w:type="dxa" w:w="60"/>
              <w:left w:type="dxa" w:w="100"/>
              <w:bottom w:type="dxa" w:w="60"/>
              <w:right w:type="dxa" w:w="100"/>
            </w:tcMar>
          </w:tcPr>
          <w:p>
            <w:r>
              <w:rPr>
                <w:b w:val="false"/>
                <w:bCs w:val="false"/>
                <w:sz w:val="18"/>
                <w:szCs w:val="18"/>
              </w:rPr>
              <w:t xml:space="preserve"/>
            </w:r>
          </w:p>
        </w:tc>
      </w:tr>
      <w:tr>
        <w:tc>
          <w:tcPr>
            <w:tcW w:type="dxa" w:w="3200"/>
            <w:tcMar>
              <w:top w:type="dxa" w:w="60"/>
              <w:left w:type="dxa" w:w="100"/>
              <w:bottom w:type="dxa" w:w="60"/>
              <w:right w:type="dxa" w:w="100"/>
            </w:tcMar>
          </w:tcPr>
          <w:p>
            <w:r>
              <w:rPr>
                <w:b w:val="false"/>
                <w:bCs w:val="false"/>
                <w:sz w:val="18"/>
                <w:szCs w:val="18"/>
              </w:rPr>
              <w:t xml:space="preserve">Händler</w:t>
            </w:r>
          </w:p>
        </w:tc>
        <w:tc>
          <w:tcPr>
            <w:tcW w:type="dxa" w:w="5100"/>
            <w:tcMar>
              <w:top w:type="dxa" w:w="60"/>
              <w:left w:type="dxa" w:w="100"/>
              <w:bottom w:type="dxa" w:w="60"/>
              <w:right w:type="dxa" w:w="100"/>
            </w:tcMar>
          </w:tcPr>
          <w:p>
            <w:r>
              <w:rPr>
                <w:b w:val="false"/>
                <w:bCs w:val="false"/>
                <w:sz w:val="18"/>
                <w:szCs w:val="18"/>
              </w:rPr>
              <w:t xml:space="preserve"/>
            </w:r>
          </w:p>
        </w:tc>
      </w:tr>
      <w:tr>
        <w:tc>
          <w:tcPr>
            <w:tcW w:type="dxa" w:w="3200"/>
            <w:tcMar>
              <w:top w:type="dxa" w:w="60"/>
              <w:left w:type="dxa" w:w="100"/>
              <w:bottom w:type="dxa" w:w="60"/>
              <w:right w:type="dxa" w:w="100"/>
            </w:tcMar>
          </w:tcPr>
          <w:p>
            <w:r>
              <w:rPr>
                <w:b w:val="false"/>
                <w:bCs w:val="false"/>
                <w:sz w:val="18"/>
                <w:szCs w:val="18"/>
              </w:rPr>
              <w:t xml:space="preserve">Ladezyklen P4 (laut BMS)</w:t>
            </w:r>
          </w:p>
        </w:tc>
        <w:tc>
          <w:tcPr>
            <w:tcW w:type="dxa" w:w="5100"/>
            <w:tcMar>
              <w:top w:type="dxa" w:w="60"/>
              <w:left w:type="dxa" w:w="100"/>
              <w:bottom w:type="dxa" w:w="60"/>
              <w:right w:type="dxa" w:w="100"/>
            </w:tcMar>
          </w:tcPr>
          <w:p>
            <w:r>
              <w:rPr>
                <w:b w:val="false"/>
                <w:bCs w:val="false"/>
                <w:sz w:val="18"/>
                <w:szCs w:val="18"/>
              </w:rPr>
              <w:t xml:space="preserve">475</w:t>
            </w:r>
          </w:p>
        </w:tc>
      </w:tr>
      <w:tr>
        <w:tc>
          <w:tcPr>
            <w:tcW w:type="dxa" w:w="3200"/>
            <w:tcMar>
              <w:top w:type="dxa" w:w="60"/>
              <w:left w:type="dxa" w:w="100"/>
              <w:bottom w:type="dxa" w:w="60"/>
              <w:right w:type="dxa" w:w="100"/>
            </w:tcMar>
          </w:tcPr>
          <w:p>
            <w:r>
              <w:rPr>
                <w:b w:val="false"/>
                <w:bCs w:val="false"/>
                <w:sz w:val="18"/>
                <w:szCs w:val="18"/>
              </w:rPr>
              <w:t xml:space="preserve">Position im Stack</w:t>
            </w:r>
          </w:p>
        </w:tc>
        <w:tc>
          <w:tcPr>
            <w:tcW w:type="dxa" w:w="5100"/>
            <w:tcMar>
              <w:top w:type="dxa" w:w="60"/>
              <w:left w:type="dxa" w:w="100"/>
              <w:bottom w:type="dxa" w:w="60"/>
              <w:right w:type="dxa" w:w="100"/>
            </w:tcMar>
          </w:tcPr>
          <w:p>
            <w:r>
              <w:rPr>
                <w:b w:val="false"/>
                <w:bCs w:val="false"/>
                <w:sz w:val="18"/>
                <w:szCs w:val="18"/>
              </w:rPr>
              <w:t xml:space="preserve"/>
            </w:r>
          </w:p>
        </w:tc>
      </w:tr>
      <w:tr>
        <w:tc>
          <w:tcPr>
            <w:tcW w:type="dxa" w:w="3200"/>
            <w:tcMar>
              <w:top w:type="dxa" w:w="60"/>
              <w:left w:type="dxa" w:w="100"/>
              <w:bottom w:type="dxa" w:w="60"/>
              <w:right w:type="dxa" w:w="100"/>
            </w:tcMar>
          </w:tcPr>
          <w:p>
            <w:r>
              <w:rPr>
                <w:b w:val="false"/>
                <w:bCs w:val="false"/>
                <w:sz w:val="18"/>
                <w:szCs w:val="18"/>
              </w:rPr>
              <w:t xml:space="preserve">Betroffene Zelle(n)</w:t>
            </w:r>
          </w:p>
        </w:tc>
        <w:tc>
          <w:tcPr>
            <w:tcW w:type="dxa" w:w="5100"/>
            <w:tcMar>
              <w:top w:type="dxa" w:w="60"/>
              <w:left w:type="dxa" w:w="100"/>
              <w:bottom w:type="dxa" w:w="60"/>
              <w:right w:type="dxa" w:w="100"/>
            </w:tcMar>
          </w:tcPr>
          <w:p>
            <w:r>
              <w:rPr>
                <w:b w:val="false"/>
                <w:bCs w:val="false"/>
                <w:sz w:val="18"/>
                <w:szCs w:val="18"/>
              </w:rPr>
              <w:t xml:space="preserve">Zelle 13 (primär), Zellen 12 und 14</w:t>
            </w:r>
          </w:p>
        </w:tc>
      </w:tr>
    </w:tbl>
    <w:p>
      <w:pPr>
        <w:spacing w:before="300"/>
      </w:pPr>
      <w:r>
        <w:rPr>
          <w:i/>
          <w:iCs/>
          <w:color w:val="5F5E5A"/>
          <w:sz w:val="18"/>
          <w:szCs w:val="18"/>
        </w:rPr>
        <w:t xml:space="preserve">Hinweis zur Methodik: Die absoluten Widerstandswerte sind aus BMS-Telemetrie abgeleitet und mit Messunsicherheit behaftet. Belastbar und robust sind der relative Vergleich zwischen den vier baugleichen Modulen, der zeitliche Trend über elf Monate sowie die direkt gemessenen Zellspannungen des Dauerlasttests.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7cc5c088836f711f97bfcf38aa98979be199c04a.png"/><Relationship Id="rId8" Type="http://schemas.openxmlformats.org/officeDocument/2006/relationships/image" Target="media/d153187057834a895eba1546cdcb28346fd0513c.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2026-07-13T12:41:47.220Z</dcterms:created>
  <dcterms:modified xsi:type="dcterms:W3CDTF">2026-07-13T12:41:47.235Z</dcterms:modified>
</cp:coreProperties>
</file>

<file path=docProps/custom.xml><?xml version="1.0" encoding="utf-8"?>
<Properties xmlns="http://schemas.openxmlformats.org/officeDocument/2006/custom-properties" xmlns:vt="http://schemas.openxmlformats.org/officeDocument/2006/docPropsVTypes"/>
</file>